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  <Override PartName="/word/media/rId25.png" ContentType="image/png"/>
  <Override PartName="/word/media/rId26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Spatially-specific</w:t>
      </w:r>
      <w:r>
        <w:t xml:space="preserve"> </w:t>
      </w:r>
      <w:r>
        <w:t xml:space="preserve">delay</w:t>
      </w:r>
      <w:r>
        <w:t xml:space="preserve"> </w:t>
      </w:r>
      <w:r>
        <w:t xml:space="preserve">period</w:t>
      </w:r>
      <w:r>
        <w:t xml:space="preserve"> </w:t>
      </w:r>
      <w:r>
        <w:t xml:space="preserve">activity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human</w:t>
      </w:r>
      <w:r>
        <w:t xml:space="preserve"> </w:t>
      </w:r>
      <w:r>
        <w:t xml:space="preserve">superior</w:t>
      </w:r>
      <w:r>
        <w:t xml:space="preserve"> </w:t>
      </w:r>
      <w:r>
        <w:t xml:space="preserve">colliculus</w:t>
      </w:r>
    </w:p>
    <w:p>
      <w:pPr>
        <w:pStyle w:val="Author"/>
      </w:pPr>
      <w:r>
        <w:t xml:space="preserve">Kartik</w:t>
      </w:r>
      <w:r>
        <w:t xml:space="preserve"> </w:t>
      </w:r>
      <w:r>
        <w:t xml:space="preserve">Sreenivasan</w:t>
      </w:r>
    </w:p>
    <w:p>
      <w:pPr>
        <w:pStyle w:val="Author"/>
      </w:pPr>
      <w:r>
        <w:t xml:space="preserve">Kevin</w:t>
      </w:r>
      <w:r>
        <w:t xml:space="preserve"> </w:t>
      </w:r>
      <w:r>
        <w:t xml:space="preserve">DeSimone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Our nervous system labors to represent the rich arrays of percepts and</w:t>
      </w:r>
      <w:r>
        <w:t xml:space="preserve"> </w:t>
      </w:r>
      <w:r>
        <w:t xml:space="preserve">actions in support of meaningful goal-driven behavior. The superior</w:t>
      </w:r>
      <w:r>
        <w:t xml:space="preserve"> </w:t>
      </w:r>
      <w:r>
        <w:t xml:space="preserve">colliculus (SC), a key node in a distributed oculomotor network,</w:t>
      </w:r>
      <w:r>
        <w:t xml:space="preserve"> </w:t>
      </w:r>
      <w:r>
        <w:t xml:space="preserve">mediates orienting behaviors (e.g., gaze shifts) designed to streamline</w:t>
      </w:r>
      <w:r>
        <w:t xml:space="preserve"> </w:t>
      </w:r>
      <w:r>
        <w:t xml:space="preserve">this perception-action cycle. The SC is a laminar structure containing</w:t>
      </w:r>
      <w:r>
        <w:t xml:space="preserve"> </w:t>
      </w:r>
      <w:r>
        <w:t xml:space="preserve">two tightly registered eye-centered topographic maps: a visual map in</w:t>
      </w:r>
      <w:r>
        <w:t xml:space="preserve"> </w:t>
      </w:r>
      <w:r>
        <w:t xml:space="preserve">the superficial layer, and a motor map in the intermediate and deep</w:t>
      </w:r>
      <w:r>
        <w:t xml:space="preserve"> </w:t>
      </w:r>
      <w:r>
        <w:t xml:space="preserve">layers representing the angle and amplitude of saccades</w:t>
      </w:r>
      <w:r>
        <w:t xml:space="preserve"> </w:t>
      </w:r>
      <w:r>
        <w:t xml:space="preserve">((Wurtz and Albano 1980); (Sparks 1986); (Sparks 1999); (Gandhi and Katnani 2011)).</w:t>
      </w:r>
      <w:r>
        <w:t xml:space="preserve"> </w:t>
      </w:r>
      <w:r>
        <w:t xml:space="preserve">Classically, the motor map is subdivided into a rostral zone containing</w:t>
      </w:r>
      <w:r>
        <w:t xml:space="preserve"> </w:t>
      </w:r>
      <w:r>
        <w:t xml:space="preserve">neurons that actively maintain fixation and a caudal zone whose neurons</w:t>
      </w:r>
      <w:r>
        <w:t xml:space="preserve"> </w:t>
      </w:r>
      <w:r>
        <w:t xml:space="preserve">mediate the generation of saccadic eye-movements. These zones form a</w:t>
      </w:r>
      <w:r>
        <w:t xml:space="preserve"> </w:t>
      </w:r>
      <w:r>
        <w:t xml:space="preserve">push-pull mechanism for mediating orienting behaviors</w:t>
      </w:r>
      <w:r>
        <w:t xml:space="preserve"> </w:t>
      </w:r>
      <w:r>
        <w:t xml:space="preserve">((Munoz and Wurtz 1992);  </w:t>
      </w:r>
      <w:r>
        <w:rPr>
          <w:i/>
        </w:rPr>
        <w:t xml:space="preserve">(Munoz and Wurtz 1993)</w:t>
      </w:r>
      <w:r>
        <w:t xml:space="preserve">; (Munoz and Wurtz 1993)).</w:t>
      </w:r>
      <w:r>
        <w:t xml:space="preserve"> </w:t>
      </w:r>
      <w:r>
        <w:t xml:space="preserve">However, two recent lines of evidence challenge this motor-centric model</w:t>
      </w:r>
      <w:r>
        <w:t xml:space="preserve"> </w:t>
      </w:r>
      <w:r>
        <w:t xml:space="preserve">of SC function. (1) Pharmacological inactivation of the macaque SC motor</w:t>
      </w:r>
      <w:r>
        <w:t xml:space="preserve"> </w:t>
      </w:r>
      <w:r>
        <w:t xml:space="preserve">map induces a form of visual neglect akin to extinction, but does not</w:t>
      </w:r>
      <w:r>
        <w:t xml:space="preserve"> </w:t>
      </w:r>
      <w:r>
        <w:t xml:space="preserve">cause paresis or anopsia</w:t>
      </w:r>
      <w:r>
        <w:t xml:space="preserve"> </w:t>
      </w:r>
      <w:r>
        <w:t xml:space="preserve">((McPeek and Keller 2004); (Lovejoy and Krauzlis 2010); (Nummela and Krauzlis 2011);(Z</w:t>
      </w:r>
      <w:r>
        <w:t xml:space="preserve">é</w:t>
      </w:r>
      <w:r>
        <w:t xml:space="preserve">non and Krauzlis 2012)).</w:t>
      </w:r>
      <w:r>
        <w:t xml:space="preserve"> </w:t>
      </w:r>
      <w:r>
        <w:t xml:space="preserve">(2) Neural activity in the cat and macaque SC motor map represents a</w:t>
      </w:r>
      <w:r>
        <w:t xml:space="preserve"> </w:t>
      </w:r>
      <w:r>
        <w:t xml:space="preserve">more abstract location of a behavioral goal, independent of the sequence</w:t>
      </w:r>
      <w:r>
        <w:t xml:space="preserve"> </w:t>
      </w:r>
      <w:r>
        <w:t xml:space="preserve">of eye movements required for acquiring the target</w:t>
      </w:r>
      <w:r>
        <w:t xml:space="preserve"> </w:t>
      </w:r>
      <w:r>
        <w:t xml:space="preserve">((Bergeron, Matsuo, and Guitton 2003); (Keller, Gandhi, and Weir 1996); (Freedman and Sparks 1997)).</w:t>
      </w:r>
      <w:r>
        <w:t xml:space="preserve"> </w:t>
      </w:r>
      <w:r>
        <w:t xml:space="preserve">Therefore, the functional role of the SC cannot be explained simply in</w:t>
      </w:r>
      <w:r>
        <w:t xml:space="preserve"> </w:t>
      </w:r>
      <w:r>
        <w:t xml:space="preserve">terms of visual input or motor output. Instead, the SC may integrate</w:t>
      </w:r>
      <w:r>
        <w:t xml:space="preserve"> </w:t>
      </w:r>
      <w:r>
        <w:t xml:space="preserve">sensory salience and behavioral relevance signals computed throughout</w:t>
      </w:r>
      <w:r>
        <w:t xml:space="preserve"> </w:t>
      </w:r>
      <w:r>
        <w:t xml:space="preserve">the brain into a common topographical organization, acting as a staging</w:t>
      </w:r>
      <w:r>
        <w:t xml:space="preserve"> </w:t>
      </w:r>
      <w:r>
        <w:t xml:space="preserve">area for organizing flexible and goal-oriented behavior into a</w:t>
      </w:r>
      <w:r>
        <w:t xml:space="preserve"> </w:t>
      </w:r>
      <w:r>
        <w:t xml:space="preserve">prioritized map of space ((Fecteau and Munoz 2006)). Here we sought to</w:t>
      </w:r>
      <w:r>
        <w:t xml:space="preserve"> </w:t>
      </w:r>
      <w:r>
        <w:t xml:space="preserve">explore the extent to which persistent delay-period activity measured in</w:t>
      </w:r>
      <w:r>
        <w:t xml:space="preserve"> </w:t>
      </w:r>
      <w:r>
        <w:t xml:space="preserve">the human SC using functional imaging techniques reflects spatially</w:t>
      </w:r>
      <w:r>
        <w:t xml:space="preserve"> </w:t>
      </w:r>
      <w:r>
        <w:t xml:space="preserve">specific representations of priority apart from visual input and motor</w:t>
      </w:r>
      <w:r>
        <w:t xml:space="preserve"> </w:t>
      </w:r>
      <w:r>
        <w:t xml:space="preserve">output.  First, we show that we can derive the detailed retinotopic</w:t>
      </w:r>
      <w:r>
        <w:t xml:space="preserve"> </w:t>
      </w:r>
      <w:r>
        <w:t xml:space="preserve">organization of the human SC using the population receptive field (pRF)</w:t>
      </w:r>
      <w:r>
        <w:t xml:space="preserve"> </w:t>
      </w:r>
      <w:r>
        <w:t xml:space="preserve">model ((Dumoulin and Wandell 2008)). </w:t>
      </w:r>
    </w:p>
    <w:p>
      <w:pPr>
        <w:pStyle w:val="Heading1"/>
      </w:pPr>
      <w:bookmarkStart w:id="22" w:name="methods"/>
      <w:bookmarkEnd w:id="22"/>
      <w:r>
        <w:t xml:space="preserve">Methods</w:t>
      </w:r>
    </w:p>
    <w:p>
      <w:pPr>
        <w:pStyle w:val="FirstParagraph"/>
      </w:pPr>
      <w:r>
        <w:rPr>
          <w:i/>
        </w:rPr>
        <w:t xml:space="preserve">Subjects</w:t>
      </w:r>
      <w:r>
        <w:t xml:space="preserve">. 4 subjects participated in the study (ages</w:t>
      </w:r>
      <w:r>
        <w:t xml:space="preserve"> </w:t>
      </w:r>
      <w:r>
        <w:t xml:space="preserve">27</w:t>
      </w:r>
      <w:r>
        <w:rPr>
          <w:b/>
        </w:rPr>
        <w:t xml:space="preserve">-</w:t>
      </w:r>
      <w:r>
        <w:t xml:space="preserve">49; 4 male). One subject was left-handed. The subjects were</w:t>
      </w:r>
      <w:r>
        <w:t xml:space="preserve"> </w:t>
      </w:r>
      <w:r>
        <w:t xml:space="preserve">in good health with no history of psychiatric or neurological disorders,</w:t>
      </w:r>
      <w:r>
        <w:t xml:space="preserve"> </w:t>
      </w:r>
      <w:r>
        <w:t xml:space="preserve">had normal or corrected-to-normal visual acuity, and gave informed</w:t>
      </w:r>
      <w:r>
        <w:t xml:space="preserve"> </w:t>
      </w:r>
      <w:r>
        <w:t xml:space="preserve">written consent. The study was approved by the New York University</w:t>
      </w:r>
      <w:r>
        <w:t xml:space="preserve"> </w:t>
      </w:r>
      <w:r>
        <w:t xml:space="preserve">Committee on Activities Involving Human Subjects and the New York</w:t>
      </w:r>
      <w:r>
        <w:t xml:space="preserve"> </w:t>
      </w:r>
      <w:r>
        <w:t xml:space="preserve">University Abu Dhabi Internal Review Board. All subjects participated in</w:t>
      </w:r>
      <w:r>
        <w:t xml:space="preserve"> </w:t>
      </w:r>
      <w:r>
        <w:t xml:space="preserve">three scanning sessions encompassing three different functional</w:t>
      </w:r>
      <w:r>
        <w:t xml:space="preserve"> </w:t>
      </w:r>
      <w:r>
        <w:t xml:space="preserve">experiments.</w:t>
      </w:r>
    </w:p>
    <w:p>
      <w:pPr>
        <w:pStyle w:val="BodyText"/>
      </w:pPr>
      <w:r>
        <w:rPr>
          <w:i/>
        </w:rPr>
        <w:t xml:space="preserve">Display and response hardware</w:t>
      </w:r>
      <w:r>
        <w:t xml:space="preserve">. The stimuli were generated on</w:t>
      </w:r>
      <w:r>
        <w:t xml:space="preserve"> </w:t>
      </w:r>
      <w:r>
        <w:t xml:space="preserve">a </w:t>
      </w:r>
      <w:r>
        <w:rPr>
          <w:b/>
        </w:rPr>
        <w:t xml:space="preserve">STIM_PC</w:t>
      </w:r>
      <w:r>
        <w:t xml:space="preserve"> </w:t>
      </w:r>
      <w:r>
        <w:t xml:space="preserve">computer using MATLAB software (The MathWorks) and</w:t>
      </w:r>
      <w:r>
        <w:t xml:space="preserve"> </w:t>
      </w:r>
      <w:r>
        <w:t xml:space="preserve">Psychophysics Toolbox 3 functions</w:t>
      </w:r>
      <w:r>
        <w:t xml:space="preserve"> </w:t>
      </w:r>
      <w:r>
        <w:t xml:space="preserve">((Brainard 1997);  (Pelli 1997)). Stimuli were presented</w:t>
      </w:r>
      <w:r>
        <w:t xml:space="preserve"> </w:t>
      </w:r>
      <w:r>
        <w:t xml:space="preserve">using a PROPixx DLP LED projector (VPixx, Saint-Bruno, QC, Canada)</w:t>
      </w:r>
      <w:r>
        <w:t xml:space="preserve"> </w:t>
      </w:r>
      <w:r>
        <w:t xml:space="preserve">located outside the scanner room and projected through a waveguide and</w:t>
      </w:r>
      <w:r>
        <w:t xml:space="preserve"> </w:t>
      </w:r>
      <w:r>
        <w:t xml:space="preserve">onto a translucent screen located at the end of the scanner bore.</w:t>
      </w:r>
      <w:r>
        <w:t xml:space="preserve"> </w:t>
      </w:r>
      <w:r>
        <w:t xml:space="preserve">Subjects viewed the screen at a total viewing distance of 64 cm through</w:t>
      </w:r>
      <w:r>
        <w:t xml:space="preserve"> </w:t>
      </w:r>
      <w:r>
        <w:t xml:space="preserve">a mirror attached to the head coil. The display subtended approximately</w:t>
      </w:r>
      <w:r>
        <w:t xml:space="preserve"> </w:t>
      </w:r>
      <w:r>
        <w:t xml:space="preserve">32˚ of visual angle horizontally vertically.  A trigger pulse from the</w:t>
      </w:r>
      <w:r>
        <w:t xml:space="preserve"> </w:t>
      </w:r>
      <w:r>
        <w:t xml:space="preserve">scanner synchronized the onsets of stimulus presentation and image</w:t>
      </w:r>
      <w:r>
        <w:t xml:space="preserve"> </w:t>
      </w:r>
      <w:r>
        <w:t xml:space="preserve">acquisition.  </w:t>
      </w:r>
      <w:r>
        <w:rPr>
          <w:b/>
        </w:rPr>
        <w:t xml:space="preserve">EYETRACKING</w:t>
      </w:r>
    </w:p>
    <w:p>
      <w:pPr>
        <w:pStyle w:val="BodyText"/>
      </w:pPr>
      <w:r>
        <w:rPr>
          <w:i/>
        </w:rPr>
        <w:t xml:space="preserve">Visual stimuli and procedure. </w:t>
      </w:r>
      <w:r>
        <w:t xml:space="preserve">The pRF mapping stimuli consisted</w:t>
      </w:r>
      <w:r>
        <w:t xml:space="preserve"> </w:t>
      </w:r>
      <w:r>
        <w:t xml:space="preserve">of a checkerboard-patterned bar whose elements reversed contrast with a</w:t>
      </w:r>
      <w:r>
        <w:t xml:space="preserve"> </w:t>
      </w:r>
      <w:r>
        <w:t xml:space="preserve">full-cycle frequency of 8 Hz (Figure 1A). The bar subtended 8˚ of visual</w:t>
      </w:r>
      <w:r>
        <w:t xml:space="preserve"> </w:t>
      </w:r>
      <w:r>
        <w:t xml:space="preserve">angle across its width and extended beyond the boundaries of the screen</w:t>
      </w:r>
      <w:r>
        <w:t xml:space="preserve"> </w:t>
      </w:r>
      <w:r>
        <w:t xml:space="preserve">along its length. During a single run, the bar appeared at two</w:t>
      </w:r>
      <w:r>
        <w:t xml:space="preserve"> </w:t>
      </w:r>
      <w:r>
        <w:t xml:space="preserve">orientations (0˚ and 90˚) and transited across the screen perpendicular</w:t>
      </w:r>
      <w:r>
        <w:t xml:space="preserve"> </w:t>
      </w:r>
      <w:r>
        <w:t xml:space="preserve">to the bar orientation and passed through central fixation. Thus, each</w:t>
      </w:r>
      <w:r>
        <w:t xml:space="preserve"> </w:t>
      </w:r>
      <w:r>
        <w:t xml:space="preserve">bar consisted of four 30 s bar sweeps with 12 s mean-luminance blank</w:t>
      </w:r>
      <w:r>
        <w:t xml:space="preserve"> </w:t>
      </w:r>
      <w:r>
        <w:t xml:space="preserve">periods at the beginning and end of each run. Subjects performed a</w:t>
      </w:r>
      <w:r>
        <w:t xml:space="preserve"> </w:t>
      </w:r>
      <w:r>
        <w:t xml:space="preserve">demanding fixation task where they responded via buttonbox as to which</w:t>
      </w:r>
      <w:r>
        <w:t xml:space="preserve"> </w:t>
      </w:r>
      <w:r>
        <w:t xml:space="preserve">of four colors (red, green, blue, yellow) the fixation was set every 1.5</w:t>
      </w:r>
      <w:r>
        <w:t xml:space="preserve"> </w:t>
      </w:r>
      <w:r>
        <w:t xml:space="preserve">s. To measure the spatial representation for remember locations in the</w:t>
      </w:r>
      <w:r>
        <w:t xml:space="preserve"> </w:t>
      </w:r>
      <w:r>
        <w:t xml:space="preserve">visual field, we used a delayed oculomotor response task with</w:t>
      </w:r>
      <w:r>
        <w:t xml:space="preserve"> </w:t>
      </w:r>
      <w:r>
        <w:t xml:space="preserve">participants responding with eye movements, either towards or away from</w:t>
      </w:r>
      <w:r>
        <w:t xml:space="preserve"> </w:t>
      </w:r>
      <w:r>
        <w:t xml:space="preserve">a visual sample. Each trial commenced with the brief (300 ms)</w:t>
      </w:r>
      <w:r>
        <w:t xml:space="preserve"> </w:t>
      </w:r>
      <w:r>
        <w:t xml:space="preserve">presentation of a visual sample, followed by a 10.5 s delay-period while</w:t>
      </w:r>
      <w:r>
        <w:t xml:space="preserve"> </w:t>
      </w:r>
      <w:r>
        <w:t xml:space="preserve">subjects maintained the sample location and hold central fixation</w:t>
      </w:r>
      <w:r>
        <w:t xml:space="preserve"> </w:t>
      </w:r>
      <w:r>
        <w:t xml:space="preserve">(Figure 1B).  After the delay, we presented a randomly located visual</w:t>
      </w:r>
      <w:r>
        <w:t xml:space="preserve"> </w:t>
      </w:r>
      <w:r>
        <w:t xml:space="preserve">stimulus, cueing the subject to execute a visually-guided saccade (VGS)</w:t>
      </w:r>
      <w:r>
        <w:t xml:space="preserve"> </w:t>
      </w:r>
      <w:r>
        <w:t xml:space="preserve">to this location and then to immediately executed a memory-guided</w:t>
      </w:r>
      <w:r>
        <w:t xml:space="preserve"> </w:t>
      </w:r>
      <w:r>
        <w:t xml:space="preserve">saccade (MGS) to the remembered sampled location. Feedback of the true</w:t>
      </w:r>
      <w:r>
        <w:t xml:space="preserve"> </w:t>
      </w:r>
      <w:r>
        <w:t xml:space="preserve">MGS location is given for 500 ms, whereafter the subject returns to</w:t>
      </w:r>
      <w:r>
        <w:t xml:space="preserve"> </w:t>
      </w:r>
      <w:r>
        <w:t xml:space="preserve">central fixation during a 9.8 s inter-trial interval (ITI). The entire</w:t>
      </w:r>
      <w:r>
        <w:t xml:space="preserve"> </w:t>
      </w:r>
      <w:r>
        <w:t xml:space="preserve">trial duration was 22.5 s (15 volume acquisitions), and each run was</w:t>
      </w:r>
      <w:r>
        <w:t xml:space="preserve"> </w:t>
      </w:r>
      <w:r>
        <w:t xml:space="preserve">comprised of 16 trials with two repetitions at each of the eight target</w:t>
      </w:r>
      <w:r>
        <w:t xml:space="preserve"> </w:t>
      </w:r>
      <w:r>
        <w:t xml:space="preserve">locations. The locations of the samples and memory locations were evenly</w:t>
      </w:r>
      <w:r>
        <w:t xml:space="preserve"> </w:t>
      </w:r>
      <w:r>
        <w:t xml:space="preserve">space from 22.5 to 337.5˚ in 45˚ intervals of polar angle and presented</w:t>
      </w:r>
      <w:r>
        <w:t xml:space="preserve"> </w:t>
      </w:r>
      <w:r>
        <w:t xml:space="preserve">at 10˚ eccentricity. Sample locations were were jittered by ±10˚</w:t>
      </w:r>
      <w:r>
        <w:t xml:space="preserve"> </w:t>
      </w:r>
      <w:r>
        <w:t xml:space="preserve">tangentially and ±1˚ eccentrically from trial to trial.  The location of</w:t>
      </w:r>
      <w:r>
        <w:t xml:space="preserve"> </w:t>
      </w:r>
      <w:r>
        <w:t xml:space="preserve">the memory guided saccade (MGS) was always the same as the sample</w:t>
      </w:r>
      <w:r>
        <w:t xml:space="preserve"> </w:t>
      </w:r>
      <w:r>
        <w:t xml:space="preserve">location during pro-saccade trials but was rotated by 180˚ of polar</w:t>
      </w:r>
      <w:r>
        <w:t xml:space="preserve"> </w:t>
      </w:r>
      <w:r>
        <w:t xml:space="preserve">angle for anti-saccade trials. The location of the visually guided</w:t>
      </w:r>
      <w:r>
        <w:t xml:space="preserve"> </w:t>
      </w:r>
      <w:r>
        <w:t xml:space="preserve">saccade for each trial was drawn from a uniform random distribution</w:t>
      </w:r>
      <w:r>
        <w:t xml:space="preserve"> </w:t>
      </w:r>
      <w:r>
        <w:t xml:space="preserve">spanning 360˚, ensuring that the VGS was independent of the sample and</w:t>
      </w:r>
      <w:r>
        <w:t xml:space="preserve"> </w:t>
      </w:r>
      <w:r>
        <w:t xml:space="preserve">MGS locations (Figure 1C).</w:t>
      </w:r>
    </w:p>
    <w:p>
      <w:pPr>
        <w:pStyle w:val="FigureWithCaption"/>
      </w:pPr>
      <w:r>
        <w:drawing>
          <wp:inline>
            <wp:extent cx="1639200" cy="16608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1/Figure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660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rPr>
          <w:i/>
        </w:rPr>
        <w:t xml:space="preserve">Data acquisition</w:t>
      </w:r>
      <w:r>
        <w:t xml:space="preserve">. Data were acquired in the Center for Brain</w:t>
      </w:r>
      <w:r>
        <w:t xml:space="preserve"> </w:t>
      </w:r>
      <w:r>
        <w:t xml:space="preserve">Imaging at NYU with a 3 T Siemens Prisma MRI scanner scanner using a</w:t>
      </w:r>
      <w:r>
        <w:t xml:space="preserve"> </w:t>
      </w:r>
      <w:r>
        <w:t xml:space="preserve">32-channel head-coil. Twenty functional series of 120 volumes were</w:t>
      </w:r>
      <w:r>
        <w:t xml:space="preserve"> </w:t>
      </w:r>
      <w:r>
        <w:t xml:space="preserve">collected for the retinotopic mapping experiment and twelve functional</w:t>
      </w:r>
      <w:r>
        <w:t xml:space="preserve"> </w:t>
      </w:r>
      <w:r>
        <w:t xml:space="preserve">series of 248 volumes were collected for the spatial working memory</w:t>
      </w:r>
      <w:r>
        <w:t xml:space="preserve"> </w:t>
      </w:r>
      <w:r>
        <w:t xml:space="preserve">experiment. Each functional series experiment. Each functional run were</w:t>
      </w:r>
      <w:r>
        <w:t xml:space="preserve"> </w:t>
      </w:r>
      <w:r>
        <w:t xml:space="preserve">acquired with 14 coronal slices and a gradient echo, echo planar</w:t>
      </w:r>
      <w:r>
        <w:t xml:space="preserve"> </w:t>
      </w:r>
      <w:r>
        <w:t xml:space="preserve">sequence with a 128 square matrix, 192 mm field of view, and 2.0 mm</w:t>
      </w:r>
      <w:r>
        <w:t xml:space="preserve"> </w:t>
      </w:r>
      <w:r>
        <w:t xml:space="preserve">slice thickness, leading to a voxel size of 1.5 x 1.5 x 2.0 mm (TR = 1.5</w:t>
      </w:r>
      <w:r>
        <w:t xml:space="preserve"> </w:t>
      </w:r>
      <w:r>
        <w:t xml:space="preserve">s, TE = 41 ms, flip angle = 66˚, bandwidth = 752 Hz/pixel). Hz/pixels).</w:t>
      </w:r>
      <w:r>
        <w:t xml:space="preserve"> </w:t>
      </w:r>
      <w:r>
        <w:t xml:space="preserve">A partial Fourier factor of 7/8 was used to acquire an asymmetric</w:t>
      </w:r>
      <w:r>
        <w:t xml:space="preserve"> </w:t>
      </w:r>
      <w:r>
        <w:t xml:space="preserve">fraction of </w:t>
      </w:r>
      <w:r>
        <w:rPr>
          <w:i/>
        </w:rPr>
        <w:t xml:space="preserve">k</w:t>
      </w:r>
      <w:r>
        <w:t xml:space="preserve">-space and GRAPPA parallel imaging with a factor of</w:t>
      </w:r>
      <w:r>
        <w:t xml:space="preserve"> </w:t>
      </w:r>
      <w:r>
        <w:t xml:space="preserve">2 was used to reduce acquisition time. The posterior edge of the</w:t>
      </w:r>
      <w:r>
        <w:t xml:space="preserve"> </w:t>
      </w:r>
      <w:r>
        <w:t xml:space="preserve">acquisition volume was aligned in the mid-sagittal plane with the</w:t>
      </w:r>
      <w:r>
        <w:t xml:space="preserve"> </w:t>
      </w:r>
      <w:r>
        <w:t xml:space="preserve">posterior edge of inferior colliculus. We also collected a</w:t>
      </w:r>
      <w:r>
        <w:t xml:space="preserve"> </w:t>
      </w:r>
      <w:r>
        <w:t xml:space="preserve">high-resolution T</w:t>
      </w:r>
      <w:r>
        <w:rPr>
          <w:vertAlign w:val="subscript"/>
        </w:rPr>
        <w:t xml:space="preserve">1</w:t>
      </w:r>
      <w:r>
        <w:t xml:space="preserve">-weighted MPRAGE</w:t>
      </w:r>
      <w:r>
        <w:t xml:space="preserve"> </w:t>
      </w:r>
      <w:r>
        <w:t xml:space="preserve">(spin-echo, </w:t>
      </w:r>
      <w:r>
        <w:rPr>
          <w:b/>
        </w:rPr>
        <w:t xml:space="preserve">TOMMY PARAMS</w:t>
      </w:r>
      <w:r>
        <w:t xml:space="preserve">) for projecting results onto anatomy.</w:t>
      </w:r>
      <w:r>
        <w:t xml:space="preserve"> </w:t>
      </w:r>
      <w:r>
        <w:t xml:space="preserve">In addition, for each scanning session we collected a single</w:t>
      </w:r>
      <w:r>
        <w:t xml:space="preserve"> </w:t>
      </w:r>
      <w:r>
        <w:t xml:space="preserve">whole-brain-coverage functional image with the same spatial resolution</w:t>
      </w:r>
      <w:r>
        <w:t xml:space="preserve"> </w:t>
      </w:r>
      <w:r>
        <w:t xml:space="preserve">as the partial-brain coverage (TR = 10.8 s) in order to align the</w:t>
      </w:r>
      <w:r>
        <w:t xml:space="preserve"> </w:t>
      </w:r>
      <w:r>
        <w:t xml:space="preserve">partial-coverage functional images to the whole-brain anatomical images.</w:t>
      </w:r>
    </w:p>
    <w:p>
      <w:pPr>
        <w:pStyle w:val="BodyText"/>
      </w:pPr>
      <w:r>
        <w:rPr>
          <w:i/>
        </w:rPr>
        <w:t xml:space="preserve">Data processing and analysis</w:t>
      </w:r>
      <w:r>
        <w:t xml:space="preserve">. Functional data were</w:t>
      </w:r>
      <w:r>
        <w:t xml:space="preserve"> </w:t>
      </w:r>
      <w:r>
        <w:t xml:space="preserve">motion-corrected and co-registered with the anatomical images. For each</w:t>
      </w:r>
      <w:r>
        <w:t xml:space="preserve"> </w:t>
      </w:r>
      <w:r>
        <w:t xml:space="preserve">voxel, the linear trend was removed and the time series converted to</w:t>
      </w:r>
      <w:r>
        <w:t xml:space="preserve"> </w:t>
      </w:r>
      <w:r>
        <w:t xml:space="preserve">percent signal change. For the mapping experiment, we modeled each voxel</w:t>
      </w:r>
      <w:r>
        <w:t xml:space="preserve"> </w:t>
      </w:r>
      <w:r>
        <w:t xml:space="preserve">in terms of a Gaussian receptive field using methods and tools</w:t>
      </w:r>
      <w:r>
        <w:t xml:space="preserve"> </w:t>
      </w:r>
      <w:r>
        <w:t xml:space="preserve">previously described ((DeSimone, Viviano, and Schneider 2015); (DeSimone, Rokem, and Schneider 2016)). The pRF</w:t>
      </w:r>
      <w:r>
        <w:t xml:space="preserve"> </w:t>
      </w:r>
      <w:r>
        <w:t xml:space="preserve">model estimates provide a description of each voxel’s BOLD response in</w:t>
      </w:r>
      <w:r>
        <w:t xml:space="preserve"> </w:t>
      </w:r>
      <w:r>
        <w:t xml:space="preserve">terms of a retinotopic location and extent. To reconstruct the spatial</w:t>
      </w:r>
      <w:r>
        <w:t xml:space="preserve"> </w:t>
      </w:r>
      <w:r>
        <w:t xml:space="preserve">representations from data measured during the spatial working memory</w:t>
      </w:r>
      <w:r>
        <w:t xml:space="preserve"> </w:t>
      </w:r>
      <w:r>
        <w:t xml:space="preserve">task, we used a spatial inverted encoding model</w:t>
      </w:r>
      <w:r>
        <w:t xml:space="preserve"> </w:t>
      </w:r>
      <w:r>
        <w:t xml:space="preserve">[</w:t>
      </w:r>
      <w:r>
        <w:t xml:space="preserve">(IEM), (Sprague and Serences 2013); (Rahmati, Saber, and Curtis 2017))</w:t>
      </w:r>
      <w:r>
        <w:t xml:space="preserve">]</w:t>
      </w:r>
      <w:r>
        <w:t xml:space="preserve">. Each voxel’s</w:t>
      </w:r>
      <w:r>
        <w:t xml:space="preserve"> </w:t>
      </w:r>
      <w:r>
        <w:t xml:space="preserve">response was modeled as the weighted sum of 9 information channels</w:t>
      </w:r>
      <w:r>
        <w:t xml:space="preserve"> </w:t>
      </w:r>
      <w:r>
        <w:t xml:space="preserve">representing polar angles equally spaced around the visual field</w:t>
      </w:r>
      <w:r>
        <w:t xml:space="preserve"> </w:t>
      </w:r>
      <w:r>
        <w:t xml:space="preserve">spanning 365˚, with each channel defined as a one-dimensional cosine</w:t>
      </w:r>
      <w:r>
        <w:t xml:space="preserve"> </w:t>
      </w:r>
      <w:r>
        <w:t xml:space="preserve">function. Subjects participated in 192 trials each for the delayed pro-</w:t>
      </w:r>
      <w:r>
        <w:t xml:space="preserve"> </w:t>
      </w:r>
      <w:r>
        <w:t xml:space="preserve">and anti-saccade tasks. To increase the signal-to-noise ratio, we</w:t>
      </w:r>
      <w:r>
        <w:t xml:space="preserve"> </w:t>
      </w:r>
      <w:r>
        <w:t xml:space="preserve">combined trials by computing a three-fold mean trial time-series,</w:t>
      </w:r>
      <w:r>
        <w:t xml:space="preserve"> </w:t>
      </w:r>
      <w:r>
        <w:t xml:space="preserve">reducing the total number of trials to 64 composed of 8 exemplars at</w:t>
      </w:r>
      <w:r>
        <w:t xml:space="preserve"> </w:t>
      </w:r>
      <w:r>
        <w:t xml:space="preserve">each of the 8 memory locations. To estimate the spatial IEM, we used a</w:t>
      </w:r>
      <w:r>
        <w:t xml:space="preserve"> </w:t>
      </w:r>
      <w:r>
        <w:t xml:space="preserve">leave-one-out cross-validation procedure where we trained the model</w:t>
      </w:r>
      <w:r>
        <w:t xml:space="preserve"> </w:t>
      </w:r>
      <w:r>
        <w:t xml:space="preserve">using 63 trials and reconstructed the response for the held-out 64th</w:t>
      </w:r>
      <w:r>
        <w:t xml:space="preserve"> </w:t>
      </w:r>
      <w:r>
        <w:t xml:space="preserve">trial. We defined voxel activity as the mean BOLD response during the</w:t>
      </w:r>
      <w:r>
        <w:t xml:space="preserve"> </w:t>
      </w:r>
      <w:r>
        <w:t xml:space="preserve">delay period after the visual sample was presented but before the</w:t>
      </w:r>
      <w:r>
        <w:t xml:space="preserve"> </w:t>
      </w:r>
      <w:r>
        <w:t xml:space="preserve">initiation of the first saccade in the double-step saccade. Channel</w:t>
      </w:r>
      <w:r>
        <w:t xml:space="preserve"> </w:t>
      </w:r>
      <w:r>
        <w:t xml:space="preserve">weights for the training data were estimated using a general linear</w:t>
      </w:r>
      <w:r>
        <w:t xml:space="preserve"> </w:t>
      </w:r>
      <w:r>
        <w:t xml:space="preserve">model, where the response for each voxel was modeled as a set of</w:t>
      </w:r>
      <w:r>
        <w:t xml:space="preserve"> </w:t>
      </w:r>
      <w:r>
        <w:t xml:space="preserve">regression coefficients given the sequence of stimuli. The voxel</w:t>
      </w:r>
      <w:r>
        <w:t xml:space="preserve"> </w:t>
      </w:r>
      <w:r>
        <w:t xml:space="preserve">activity for the held-out trial was then projected onto these trained</w:t>
      </w:r>
      <w:r>
        <w:t xml:space="preserve"> </w:t>
      </w:r>
      <w:r>
        <w:t xml:space="preserve">channel weights to produce new channel responses, which were then</w:t>
      </w:r>
      <w:r>
        <w:t xml:space="preserve"> </w:t>
      </w:r>
      <w:r>
        <w:t xml:space="preserve">convolved by the basis functions to produce a reconstruction of the</w:t>
      </w:r>
      <w:r>
        <w:t xml:space="preserve"> </w:t>
      </w:r>
      <w:r>
        <w:t xml:space="preserve">spatial response for the held-out trial. We aligned and combined</w:t>
      </w:r>
      <w:r>
        <w:t xml:space="preserve"> </w:t>
      </w:r>
      <w:r>
        <w:t xml:space="preserve">reconstructions across trials for each subject. In addition, we used a</w:t>
      </w:r>
      <w:r>
        <w:t xml:space="preserve"> </w:t>
      </w:r>
      <w:r>
        <w:t xml:space="preserve">bootstrap procedure to repeatedly train and reconstruct the spatial IEM</w:t>
      </w:r>
      <w:r>
        <w:t xml:space="preserve"> </w:t>
      </w:r>
      <w:r>
        <w:t xml:space="preserve">with different arrangements of trials for computing the the three-fold</w:t>
      </w:r>
      <w:r>
        <w:t xml:space="preserve"> </w:t>
      </w:r>
      <w:r>
        <w:t xml:space="preserve">mean time-series. This ensured that any effects were not simply due to</w:t>
      </w:r>
      <w:r>
        <w:t xml:space="preserve"> </w:t>
      </w:r>
      <w:r>
        <w:t xml:space="preserve">bias in the sampling and combination of trials. To quantify spatial</w:t>
      </w:r>
      <w:r>
        <w:t xml:space="preserve"> </w:t>
      </w:r>
      <w:r>
        <w:t xml:space="preserve">tuning, we used the representational fidelity metric</w:t>
      </w:r>
      <w:r>
        <w:t xml:space="preserve"> </w:t>
      </w:r>
      <w:r>
        <w:t xml:space="preserve">((Sprague, Ester, and Serences 2016)).</w:t>
      </w:r>
    </w:p>
    <w:p>
      <w:pPr>
        <w:pStyle w:val="Heading1"/>
      </w:pPr>
      <w:bookmarkStart w:id="24" w:name="results"/>
      <w:bookmarkEnd w:id="24"/>
      <w:r>
        <w:t xml:space="preserve">Results</w:t>
      </w:r>
    </w:p>
    <w:p>
      <w:pPr>
        <w:pStyle w:val="FirstParagraph"/>
      </w:pPr>
      <w:r>
        <w:rPr>
          <w:i/>
        </w:rPr>
        <w:t xml:space="preserve">Retinotopic mapping</w:t>
      </w:r>
      <w:r>
        <w:t xml:space="preserve">. We found clear bilateral activation</w:t>
      </w:r>
      <w:r>
        <w:t xml:space="preserve"> </w:t>
      </w:r>
      <w:r>
        <w:t xml:space="preserve">retinotopic activation in the SC. Figure 2A shows the detailed</w:t>
      </w:r>
      <w:r>
        <w:t xml:space="preserve"> </w:t>
      </w:r>
      <w:r>
        <w:t xml:space="preserve">activation maps for a single subject. Activated voxels whose fMRI</w:t>
      </w:r>
      <w:r>
        <w:t xml:space="preserve"> </w:t>
      </w:r>
      <w:r>
        <w:t xml:space="preserve">time-series correlated with the modeled</w:t>
      </w:r>
      <w:r>
        <w:t xml:space="preserve"> </w:t>
      </w:r>
      <w:r>
        <w:t xml:space="preserve">time-series </w:t>
      </w:r>
      <w:r>
        <w:rPr>
          <w:i/>
        </w:rPr>
        <w:t xml:space="preserve">r</w:t>
      </w:r>
      <w:r>
        <w:rPr>
          <w:vertAlign w:val="superscript"/>
          <w:i/>
        </w:rPr>
        <w:t xml:space="preserve">2 </w:t>
      </w:r>
      <w:r>
        <w:rPr>
          <w:i/>
        </w:rPr>
        <w:t xml:space="preserve">&gt; 0.1</w:t>
      </w:r>
      <w:r>
        <w:t xml:space="preserve"> are shown.</w:t>
      </w:r>
      <w:r>
        <w:t xml:space="preserve"> </w:t>
      </w:r>
      <w:r>
        <w:t xml:space="preserve">The zoomed activation maps are overlaid on T</w:t>
      </w:r>
      <w:r>
        <w:rPr>
          <w:vertAlign w:val="subscript"/>
        </w:rPr>
        <w:t xml:space="preserve">1</w:t>
      </w:r>
      <w:r>
        <w:t xml:space="preserve">-weighted</w:t>
      </w:r>
      <w:r>
        <w:t xml:space="preserve"> </w:t>
      </w:r>
      <w:r>
        <w:t xml:space="preserve">anatomical images with the inset of the SC highlighted with a red</w:t>
      </w:r>
      <w:r>
        <w:t xml:space="preserve"> </w:t>
      </w:r>
      <w:r>
        <w:t xml:space="preserve">square. The rows show successive coronal slices moving anterior to</w:t>
      </w:r>
      <w:r>
        <w:t xml:space="preserve"> </w:t>
      </w:r>
      <w:r>
        <w:t xml:space="preserve">posterior from the top to bottom rows. The columns show each of the pRF</w:t>
      </w:r>
      <w:r>
        <w:t xml:space="preserve"> </w:t>
      </w:r>
      <w:r>
        <w:t xml:space="preserve">model parameters (polar angle, eccentricity, and pRF size). The</w:t>
      </w:r>
      <w:r>
        <w:t xml:space="preserve"> </w:t>
      </w:r>
      <w:r>
        <w:t xml:space="preserve">topography of the pRF model estimates were congruent with the</w:t>
      </w:r>
      <w:r>
        <w:t xml:space="preserve"> </w:t>
      </w:r>
      <w:r>
        <w:t xml:space="preserve">organization described previously in the macaque and human. We found a</w:t>
      </w:r>
      <w:r>
        <w:t xml:space="preserve"> </w:t>
      </w:r>
      <w:r>
        <w:t xml:space="preserve">complete representation of the contralateral hemifield in each SC, with</w:t>
      </w:r>
      <w:r>
        <w:t xml:space="preserve"> </w:t>
      </w:r>
      <w:r>
        <w:t xml:space="preserve">the a polar angle progression from the upper vertical meridian, the</w:t>
      </w:r>
      <w:r>
        <w:t xml:space="preserve"> </w:t>
      </w:r>
      <w:r>
        <w:t xml:space="preserve">contralateral horizontal meridian, and the lower vertical meridian as</w:t>
      </w:r>
      <w:r>
        <w:t xml:space="preserve"> </w:t>
      </w:r>
      <w:r>
        <w:t xml:space="preserve">one moves from the medial to the lateral extent of each SC.  We found</w:t>
      </w:r>
      <w:r>
        <w:t xml:space="preserve"> </w:t>
      </w:r>
      <w:r>
        <w:t xml:space="preserve">the eccentricity representation organized along the</w:t>
      </w:r>
      <w:r>
        <w:t xml:space="preserve"> </w:t>
      </w:r>
      <w:r>
        <w:t xml:space="preserve">anterior-to-posterior axis, with representations of the fovea at the</w:t>
      </w:r>
      <w:r>
        <w:t xml:space="preserve"> </w:t>
      </w:r>
      <w:r>
        <w:t xml:space="preserve">anterior pole the left and right SC, with a steady progression toward</w:t>
      </w:r>
      <w:r>
        <w:t xml:space="preserve"> </w:t>
      </w:r>
      <w:r>
        <w:t xml:space="preserve">peripheral representation moving towards the posterior pole. The</w:t>
      </w:r>
      <w:r>
        <w:t xml:space="preserve"> </w:t>
      </w:r>
      <w:r>
        <w:t xml:space="preserve">representational axis of receptive field size conformed with</w:t>
      </w:r>
      <w:r>
        <w:t xml:space="preserve"> </w:t>
      </w:r>
      <w:r>
        <w:t xml:space="preserve">eccentricity where smaller receptive fields are found at the fovea near</w:t>
      </w:r>
      <w:r>
        <w:t xml:space="preserve"> </w:t>
      </w:r>
      <w:r>
        <w:t xml:space="preserve">the anterior pole and larger fields near  periphery near the posterior</w:t>
      </w:r>
      <w:r>
        <w:t xml:space="preserve"> </w:t>
      </w:r>
      <w:r>
        <w:t xml:space="preserve">pole. We summarize these findings in Figure 2B, which shows the direct</w:t>
      </w:r>
      <w:r>
        <w:t xml:space="preserve"> </w:t>
      </w:r>
      <w:r>
        <w:t xml:space="preserve">linear relationship between eccentricity and receptive field size—a</w:t>
      </w:r>
      <w:r>
        <w:t xml:space="preserve"> </w:t>
      </w:r>
      <w:r>
        <w:t xml:space="preserve">hallmark of retinotopic organization throughout the visual system. </w:t>
      </w:r>
    </w:p>
    <w:p>
      <w:pPr>
        <w:pStyle w:val="FigureWithCaption"/>
      </w:pPr>
      <w:r>
        <w:drawing>
          <wp:inline>
            <wp:extent cx="1639200" cy="19872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2/Figure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9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br w:type="textWrapping"/>
      </w:r>
      <w:r>
        <w:rPr>
          <w:i/>
        </w:rPr>
        <w:t xml:space="preserve">Delayed saccade task</w:t>
      </w:r>
      <w:r>
        <w:t xml:space="preserve">. We found spatially-specific BOLD among the</w:t>
      </w:r>
      <w:r>
        <w:t xml:space="preserve"> </w:t>
      </w:r>
      <w:r>
        <w:t xml:space="preserve">voxels of the SC across all four subjects. Figure 3A shows the mean of</w:t>
      </w:r>
      <w:r>
        <w:t xml:space="preserve"> </w:t>
      </w:r>
      <w:r>
        <w:t xml:space="preserve">the aligned reconstructions across trials for each subject (blue) and</w:t>
      </w:r>
      <w:r>
        <w:t xml:space="preserve"> </w:t>
      </w:r>
      <w:r>
        <w:t xml:space="preserve">the reconstructions computed using the same procedure but with randomly</w:t>
      </w:r>
      <w:r>
        <w:t xml:space="preserve"> </w:t>
      </w:r>
      <w:r>
        <w:t xml:space="preserve">shuffled stimulus labels (red) for the pro-saccade task. The shaded</w:t>
      </w:r>
      <w:r>
        <w:t xml:space="preserve"> </w:t>
      </w:r>
      <w:r>
        <w:t xml:space="preserve">region shows the 95% confidence intervals calculated using the error</w:t>
      </w:r>
      <w:r>
        <w:t xml:space="preserve"> </w:t>
      </w:r>
      <w:r>
        <w:t xml:space="preserve">across the 64 folded trials. Each row shows the spatial tuning for the</w:t>
      </w:r>
      <w:r>
        <w:t xml:space="preserve"> </w:t>
      </w:r>
      <w:r>
        <w:t xml:space="preserve">memory location within each of the four subjects. The spatial IEM</w:t>
      </w:r>
      <w:r>
        <w:t xml:space="preserve"> </w:t>
      </w:r>
      <w:r>
        <w:t xml:space="preserve">results suggest that across multiple subjects, the SC contains a</w:t>
      </w:r>
      <w:r>
        <w:t xml:space="preserve"> </w:t>
      </w:r>
      <w:r>
        <w:t xml:space="preserve">representation for the a remembered spatial a remembered spatial </w:t>
      </w:r>
      <w:r>
        <w:t xml:space="preserve"> </w:t>
      </w:r>
      <w:r>
        <w:t xml:space="preserve">location during the delay period between presentation of the visual</w:t>
      </w:r>
      <w:r>
        <w:t xml:space="preserve"> </w:t>
      </w:r>
      <w:r>
        <w:t xml:space="preserve">sample and execution of the eye movement. To quantify the degree of</w:t>
      </w:r>
      <w:r>
        <w:t xml:space="preserve"> </w:t>
      </w:r>
      <w:r>
        <w:t xml:space="preserve">spatial tuning, we compute the representational fidelity for each</w:t>
      </w:r>
      <w:r>
        <w:t xml:space="preserve"> </w:t>
      </w:r>
      <w:r>
        <w:t xml:space="preserve">reconstructed spatial location across bootstraps. Figure 3B shows</w:t>
      </w:r>
      <w:r>
        <w:t xml:space="preserve"> </w:t>
      </w:r>
      <w:r>
        <w:t xml:space="preserve">distributions of representational fidelity computed from the pro-saccade</w:t>
      </w:r>
      <w:r>
        <w:t xml:space="preserve"> </w:t>
      </w:r>
      <w:r>
        <w:t xml:space="preserve">delay-period spatial reconstructions (blue) and their shuffled</w:t>
      </w:r>
      <w:r>
        <w:t xml:space="preserve"> </w:t>
      </w:r>
      <w:r>
        <w:t xml:space="preserve">reconstructions (red) across bootstraps. We find that across all</w:t>
      </w:r>
      <w:r>
        <w:t xml:space="preserve"> </w:t>
      </w:r>
      <w:r>
        <w:t xml:space="preserve">subjects that while the shuffled data are distributed about 0 the</w:t>
      </w:r>
      <w:r>
        <w:t xml:space="preserve"> </w:t>
      </w:r>
      <w:r>
        <w:t xml:space="preserve">distributions of the spatial reconstructions are shifted rightward in</w:t>
      </w:r>
      <w:r>
        <w:t xml:space="preserve"> </w:t>
      </w:r>
      <w:r>
        <w:t xml:space="preserve">the positive direction. This finding suggests that the SC activity</w:t>
      </w:r>
      <w:r>
        <w:t xml:space="preserve"> </w:t>
      </w:r>
      <w:r>
        <w:t xml:space="preserve">during the delay period contains spatially specific information related</w:t>
      </w:r>
      <w:r>
        <w:t xml:space="preserve"> </w:t>
      </w:r>
      <w:r>
        <w:t xml:space="preserve">to the location of the memoranda.memoranda. </w:t>
      </w:r>
      <w:r>
        <w:rPr>
          <w:b/>
        </w:rPr>
        <w:t xml:space="preserve">ANTI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1639200" cy="1166400"/>
            <wp:effectExtent b="0" l="0" r="0" t="0"/>
            <wp:docPr descr="This is a caption " title="" id="1" name="Picture"/>
            <a:graphic>
              <a:graphicData uri="http://schemas.openxmlformats.org/drawingml/2006/picture">
                <pic:pic>
                  <pic:nvPicPr>
                    <pic:cNvPr descr="figures/Figure3/Figure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16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This is a caption</w:t>
      </w:r>
      <w:r>
        <w:t xml:space="preserve"> 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7" w:name="references"/>
      <w:bookmarkEnd w:id="27"/>
      <w:r>
        <w:t xml:space="preserve">References</w:t>
      </w:r>
    </w:p>
    <w:p>
      <w:pPr>
        <w:pStyle w:val="FirstParagraph"/>
      </w:pPr>
      <w:r>
        <w:t xml:space="preserve">Wurtz, R H, and J E Albano. 1980.</w:t>
      </w:r>
      <w:r>
        <w:t xml:space="preserve"> </w:t>
      </w:r>
      <w:r>
        <w:t xml:space="preserve">“</w:t>
      </w:r>
      <w:r>
        <w:t xml:space="preserve">Visual-Motor Function of the Primate Superior Colliculus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Annual Review of Neuroscience</w:t>
      </w:r>
      <w:r>
        <w:t xml:space="preserve"> </w:t>
      </w:r>
      <w:r>
        <w:t xml:space="preserve">3 (1). Annual Reviews: 189–226. doi:10.1146/annurev.ne.03.030180.001201.</w:t>
      </w:r>
    </w:p>
    <w:p>
      <w:pPr>
        <w:pStyle w:val="BodyText"/>
      </w:pPr>
      <w:r>
        <w:t xml:space="preserve">Sparks, DL. 1986.</w:t>
      </w:r>
      <w:r>
        <w:t xml:space="preserve"> </w:t>
      </w:r>
      <w:r>
        <w:t xml:space="preserve">“</w:t>
      </w:r>
      <w:r>
        <w:t xml:space="preserve">Translation of Sensory Signals into Commands for Control of Saccadic Eye Movements: Role of Primate Superior Colliculus.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Physiol Rev</w:t>
      </w:r>
      <w:r>
        <w:t xml:space="preserve"> </w:t>
      </w:r>
      <w:r>
        <w:t xml:space="preserve">66: 118–71.</w:t>
      </w:r>
    </w:p>
    <w:p>
      <w:pPr>
        <w:pStyle w:val="BodyText"/>
      </w:pPr>
      <w:r>
        <w:t xml:space="preserve">———. 1999.</w:t>
      </w:r>
      <w:r>
        <w:t xml:space="preserve"> </w:t>
      </w:r>
      <w:r>
        <w:t xml:space="preserve">“</w:t>
      </w:r>
      <w:r>
        <w:t xml:space="preserve">Conceptual Issues Related to the Role of the Superior Colliculus in the Control of Gaze.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Curr Opin Neurobiol</w:t>
      </w:r>
      <w:r>
        <w:t xml:space="preserve"> </w:t>
      </w:r>
      <w:r>
        <w:t xml:space="preserve">9: 698–707.</w:t>
      </w:r>
    </w:p>
    <w:p>
      <w:pPr>
        <w:pStyle w:val="BodyText"/>
      </w:pPr>
      <w:r>
        <w:t xml:space="preserve">Gandhi, Neeraj J., and Husam A. Katnani. 2011.</w:t>
      </w:r>
      <w:r>
        <w:t xml:space="preserve"> </w:t>
      </w:r>
      <w:r>
        <w:t xml:space="preserve">“</w:t>
      </w:r>
      <w:r>
        <w:t xml:space="preserve">Motor Functions of the Superior Colliculus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Annual Review of Neuroscience</w:t>
      </w:r>
      <w:r>
        <w:t xml:space="preserve"> </w:t>
      </w:r>
      <w:r>
        <w:t xml:space="preserve">34 (1). Annual Reviews: 205–31. doi:10.1146/annurev-neuro-061010-113728.</w:t>
      </w:r>
    </w:p>
    <w:p>
      <w:pPr>
        <w:pStyle w:val="BodyText"/>
      </w:pPr>
      <w:r>
        <w:t xml:space="preserve">Munoz, DP, and RH Wurtz. 1992.</w:t>
      </w:r>
      <w:r>
        <w:t xml:space="preserve"> </w:t>
      </w:r>
      <w:r>
        <w:t xml:space="preserve">“</w:t>
      </w:r>
      <w:r>
        <w:t xml:space="preserve">Role of the Rostral Superior Colliculus in Active Visual Fixation and Execution of Express Saccades.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Neurophysiol</w:t>
      </w:r>
      <w:r>
        <w:t xml:space="preserve"> </w:t>
      </w:r>
      <w:r>
        <w:t xml:space="preserve">67: 1000–1002.</w:t>
      </w:r>
    </w:p>
    <w:p>
      <w:pPr>
        <w:pStyle w:val="BodyText"/>
      </w:pPr>
      <w:r>
        <w:t xml:space="preserve">———. 1993.</w:t>
      </w:r>
      <w:r>
        <w:t xml:space="preserve"> </w:t>
      </w:r>
      <w:r>
        <w:t xml:space="preserve">“</w:t>
      </w:r>
      <w:r>
        <w:t xml:space="preserve">Fixation Cells in Monkey Superior Colliculus. I. Characteristics of Cell Discharge.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Neurophysiol</w:t>
      </w:r>
      <w:r>
        <w:t xml:space="preserve"> </w:t>
      </w:r>
      <w:r>
        <w:t xml:space="preserve">70: 559–75.</w:t>
      </w:r>
    </w:p>
    <w:p>
      <w:pPr>
        <w:pStyle w:val="BodyText"/>
      </w:pPr>
      <w:r>
        <w:t xml:space="preserve">———. 1993.</w:t>
      </w:r>
      <w:r>
        <w:t xml:space="preserve"> </w:t>
      </w:r>
      <w:r>
        <w:t xml:space="preserve">“</w:t>
      </w:r>
      <w:r>
        <w:t xml:space="preserve">Fixation Cells in Monkey Superior Colliculus. II. Reversible Activation and Deactivation.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Neurophysiol</w:t>
      </w:r>
      <w:r>
        <w:t xml:space="preserve"> </w:t>
      </w:r>
      <w:r>
        <w:t xml:space="preserve">70: 576–89.</w:t>
      </w:r>
    </w:p>
    <w:p>
      <w:pPr>
        <w:pStyle w:val="BodyText"/>
      </w:pPr>
      <w:r>
        <w:t xml:space="preserve">McPeek, RM, and EL Keller. 2004.</w:t>
      </w:r>
      <w:r>
        <w:t xml:space="preserve"> </w:t>
      </w:r>
      <w:r>
        <w:t xml:space="preserve">“</w:t>
      </w:r>
      <w:r>
        <w:t xml:space="preserve">Deficits in Saccade Target Selection after Inactivation of Superior Colliculus.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 Neurosci</w:t>
      </w:r>
      <w:r>
        <w:t xml:space="preserve"> </w:t>
      </w:r>
      <w:r>
        <w:t xml:space="preserve">7: 757–63.</w:t>
      </w:r>
    </w:p>
    <w:p>
      <w:pPr>
        <w:pStyle w:val="BodyText"/>
      </w:pPr>
      <w:r>
        <w:t xml:space="preserve">Lovejoy, LP, and RJ Krauzlis. 2010.</w:t>
      </w:r>
      <w:r>
        <w:t xml:space="preserve"> </w:t>
      </w:r>
      <w:r>
        <w:t xml:space="preserve">“</w:t>
      </w:r>
      <w:r>
        <w:t xml:space="preserve">Inactivation of Primate Superior Colliculus Impairs Covert Selection of Signals for Perceptual Judgments.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 Neurosci</w:t>
      </w:r>
      <w:r>
        <w:t xml:space="preserve"> </w:t>
      </w:r>
      <w:r>
        <w:t xml:space="preserve">13: 261–66.</w:t>
      </w:r>
    </w:p>
    <w:p>
      <w:pPr>
        <w:pStyle w:val="BodyText"/>
      </w:pPr>
      <w:r>
        <w:t xml:space="preserve">Nummela, S. U., and R. J. Krauzlis. 2011.</w:t>
      </w:r>
      <w:r>
        <w:t xml:space="preserve"> </w:t>
      </w:r>
      <w:r>
        <w:t xml:space="preserve">“</w:t>
      </w:r>
      <w:r>
        <w:t xml:space="preserve">Superior Colliculus Inactivation Alters the Weighted Integration of Visual Stimuli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Neuroscience</w:t>
      </w:r>
      <w:r>
        <w:t xml:space="preserve"> </w:t>
      </w:r>
      <w:r>
        <w:t xml:space="preserve">31 (22). Society for Neuroscience: 8059–66. doi:10.1523/jneurosci.5480-10.2011.</w:t>
      </w:r>
    </w:p>
    <w:p>
      <w:pPr>
        <w:pStyle w:val="BodyText"/>
      </w:pPr>
      <w:r>
        <w:t xml:space="preserve">Z</w:t>
      </w:r>
      <w:r>
        <w:t xml:space="preserve">é</w:t>
      </w:r>
      <w:r>
        <w:t xml:space="preserve">non, Alexandre, and Richard J. Krauzlis. 2012.</w:t>
      </w:r>
      <w:r>
        <w:t xml:space="preserve"> </w:t>
      </w:r>
      <w:r>
        <w:t xml:space="preserve">“</w:t>
      </w:r>
      <w:r>
        <w:t xml:space="preserve">Attention Deficits without Cortical Neuronal Deficits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</w:t>
      </w:r>
      <w:r>
        <w:t xml:space="preserve"> </w:t>
      </w:r>
      <w:r>
        <w:t xml:space="preserve">489 (7416). Springer Nature: 434–37. doi:10.1038/nature11497.</w:t>
      </w:r>
    </w:p>
    <w:p>
      <w:pPr>
        <w:pStyle w:val="BodyText"/>
      </w:pPr>
      <w:r>
        <w:t xml:space="preserve">Bergeron, Andr</w:t>
      </w:r>
      <w:r>
        <w:t xml:space="preserve">é</w:t>
      </w:r>
      <w:r>
        <w:t xml:space="preserve">, Satoshi Matsuo, and Daniel Guitton. 2003.</w:t>
      </w:r>
      <w:r>
        <w:t xml:space="preserve"> </w:t>
      </w:r>
      <w:r>
        <w:t xml:space="preserve">“</w:t>
      </w:r>
      <w:r>
        <w:t xml:space="preserve">Superior Colliculus Encodes Distance to Target Not Saccade Amplitude, in Multi-Step Gaze Shifts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 Neuroscience</w:t>
      </w:r>
      <w:r>
        <w:t xml:space="preserve"> </w:t>
      </w:r>
      <w:r>
        <w:t xml:space="preserve">6 (4). Springer Nature: 404–13. doi:10.1038/nn1027.</w:t>
      </w:r>
    </w:p>
    <w:p>
      <w:pPr>
        <w:pStyle w:val="BodyText"/>
      </w:pPr>
      <w:r>
        <w:t xml:space="preserve">Keller, EL, NJ Gandhi, and PT Weir. 1996.</w:t>
      </w:r>
      <w:r>
        <w:t xml:space="preserve"> </w:t>
      </w:r>
      <w:r>
        <w:t xml:space="preserve">“</w:t>
      </w:r>
      <w:r>
        <w:t xml:space="preserve">Discharge of Superior Collicular Neurons during Saccades Made to Moving Targets.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Neurophysiol</w:t>
      </w:r>
      <w:r>
        <w:t xml:space="preserve"> </w:t>
      </w:r>
      <w:r>
        <w:t xml:space="preserve">76: 3573–77.</w:t>
      </w:r>
    </w:p>
    <w:p>
      <w:pPr>
        <w:pStyle w:val="BodyText"/>
      </w:pPr>
      <w:r>
        <w:t xml:space="preserve">Freedman, EG, and DL Sparks. 1997.</w:t>
      </w:r>
      <w:r>
        <w:t xml:space="preserve"> </w:t>
      </w:r>
      <w:r>
        <w:t xml:space="preserve">“</w:t>
      </w:r>
      <w:r>
        <w:t xml:space="preserve">Activity of Cells in the Deeper Layers of the Superior Colliculus of the Rhesus Monkey: Evidence for a Gaze Displacement Command.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 Neurophysiol</w:t>
      </w:r>
      <w:r>
        <w:t xml:space="preserve"> </w:t>
      </w:r>
      <w:r>
        <w:t xml:space="preserve">78: 1669–90.</w:t>
      </w:r>
    </w:p>
    <w:p>
      <w:pPr>
        <w:pStyle w:val="BodyText"/>
      </w:pPr>
      <w:r>
        <w:t xml:space="preserve">Fecteau, JH, and DP Munoz. 2006.</w:t>
      </w:r>
      <w:r>
        <w:t xml:space="preserve"> </w:t>
      </w:r>
      <w:r>
        <w:t xml:space="preserve">“</w:t>
      </w:r>
      <w:r>
        <w:t xml:space="preserve">Salience, Relevance, and Firing: a Priority Map for Target Selection.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Trends Cogn Sci</w:t>
      </w:r>
      <w:r>
        <w:t xml:space="preserve"> </w:t>
      </w:r>
      <w:r>
        <w:t xml:space="preserve">10: 382–90.</w:t>
      </w:r>
    </w:p>
    <w:p>
      <w:pPr>
        <w:pStyle w:val="BodyText"/>
      </w:pPr>
      <w:r>
        <w:t xml:space="preserve">Dumoulin, Serge O., and Brian A. Wandell. 2008.</w:t>
      </w:r>
      <w:r>
        <w:t xml:space="preserve"> </w:t>
      </w:r>
      <w:r>
        <w:t xml:space="preserve">“</w:t>
      </w:r>
      <w:r>
        <w:t xml:space="preserve">Population Receptive Field Estimates in Human Visual Cortex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NeuroImage</w:t>
      </w:r>
      <w:r>
        <w:t xml:space="preserve"> </w:t>
      </w:r>
      <w:r>
        <w:t xml:space="preserve">39 (2). Elsevier</w:t>
      </w:r>
      <w:r>
        <w:t xml:space="preserve"> </w:t>
      </w:r>
      <w:r>
        <w:t xml:space="preserve">BV</w:t>
      </w:r>
      <w:r>
        <w:t xml:space="preserve">: 647–60. doi:10.1016/j.neuroimage.2007.09.034.</w:t>
      </w:r>
    </w:p>
    <w:p>
      <w:pPr>
        <w:pStyle w:val="BodyText"/>
      </w:pPr>
      <w:r>
        <w:t xml:space="preserve">Brainard, David H. 1997.</w:t>
      </w:r>
      <w:r>
        <w:t xml:space="preserve"> </w:t>
      </w:r>
      <w:r>
        <w:t xml:space="preserve">“</w:t>
      </w:r>
      <w:r>
        <w:t xml:space="preserve">The Psychophysics Toolbox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Spatial Vision</w:t>
      </w:r>
      <w:r>
        <w:t xml:space="preserve"> </w:t>
      </w:r>
      <w:r>
        <w:t xml:space="preserve">10 (4). Brill Academic Publishers: 433–36. doi:10.1163/156856897x00357.</w:t>
      </w:r>
    </w:p>
    <w:p>
      <w:pPr>
        <w:pStyle w:val="BodyText"/>
      </w:pPr>
      <w:r>
        <w:t xml:space="preserve">Pelli, Denis G. 1997.</w:t>
      </w:r>
      <w:r>
        <w:t xml:space="preserve"> </w:t>
      </w:r>
      <w:r>
        <w:t xml:space="preserve">“</w:t>
      </w:r>
      <w:r>
        <w:t xml:space="preserve">The</w:t>
      </w:r>
      <w:r>
        <w:t xml:space="preserve"> </w:t>
      </w:r>
      <w:r>
        <w:t xml:space="preserve">VideoToolbox</w:t>
      </w:r>
      <w:r>
        <w:t xml:space="preserve"> </w:t>
      </w:r>
      <w:r>
        <w:t xml:space="preserve">Software for Visual Psychophysics: Transforming Numbers into Movies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Spatial Vision</w:t>
      </w:r>
      <w:r>
        <w:t xml:space="preserve"> </w:t>
      </w:r>
      <w:r>
        <w:t xml:space="preserve">10 (4). Brill Academic Publishers: 437–42. doi:10.1163/156856897x00366.</w:t>
      </w:r>
    </w:p>
    <w:p>
      <w:pPr>
        <w:pStyle w:val="BodyText"/>
      </w:pPr>
      <w:r>
        <w:t xml:space="preserve">DeSimone, K., J. D. Viviano, and K. A. Schneider. 2015.</w:t>
      </w:r>
      <w:r>
        <w:t xml:space="preserve"> </w:t>
      </w:r>
      <w:r>
        <w:t xml:space="preserve">“</w:t>
      </w:r>
      <w:r>
        <w:t xml:space="preserve">Population Receptive Field Estimation Reveals New Retinotopic Maps in Human Subcortex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Neuroscience</w:t>
      </w:r>
      <w:r>
        <w:t xml:space="preserve"> </w:t>
      </w:r>
      <w:r>
        <w:t xml:space="preserve">35 (27). Society for Neuroscience: 9836–47. doi:10.1523/jneurosci.3840-14.2015.</w:t>
      </w:r>
    </w:p>
    <w:p>
      <w:pPr>
        <w:pStyle w:val="BodyText"/>
      </w:pPr>
      <w:r>
        <w:t xml:space="preserve">DeSimone, Kevin, Ariel Rokem, and Keith Schneider. 2016.</w:t>
      </w:r>
      <w:r>
        <w:t xml:space="preserve"> </w:t>
      </w:r>
      <w:r>
        <w:t xml:space="preserve">“</w:t>
      </w:r>
      <w:r>
        <w:t xml:space="preserve">Popeye: a Population Receptive Field Estimation Tool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The Journal of Open Source Software</w:t>
      </w:r>
      <w:r>
        <w:t xml:space="preserve"> </w:t>
      </w:r>
      <w:r>
        <w:t xml:space="preserve">1 (8). The Open Journal: 103. doi:10.21105/joss.00103.</w:t>
      </w:r>
    </w:p>
    <w:p>
      <w:pPr>
        <w:pStyle w:val="BodyText"/>
      </w:pPr>
      <w:r>
        <w:t xml:space="preserve">Sprague, Thomas C, and John T Serences. 2013.</w:t>
      </w:r>
      <w:r>
        <w:t xml:space="preserve"> </w:t>
      </w:r>
      <w:r>
        <w:t xml:space="preserve">“</w:t>
      </w:r>
      <w:r>
        <w:t xml:space="preserve">Attention Modulates Spatial Priority Maps in the Human Occipital Parietal and Frontal Cortices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Nature Neuroscience</w:t>
      </w:r>
      <w:r>
        <w:t xml:space="preserve"> </w:t>
      </w:r>
      <w:r>
        <w:t xml:space="preserve">16 (12). Springer Nature: 1879–87. doi:10.1038/nn.3574.</w:t>
      </w:r>
    </w:p>
    <w:p>
      <w:pPr>
        <w:pStyle w:val="BodyText"/>
      </w:pPr>
      <w:r>
        <w:t xml:space="preserve">Rahmati, Masih, Golbarg T. Saber, and Clayton E. Curtis. 2017.</w:t>
      </w:r>
      <w:r>
        <w:t xml:space="preserve"> </w:t>
      </w:r>
      <w:r>
        <w:t xml:space="preserve">“</w:t>
      </w:r>
      <w:r>
        <w:t xml:space="preserve">Population Dynamics of Early Visual Cortex during Working Memory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Journal of Cognitive Neuroscience</w:t>
      </w:r>
      <w:r>
        <w:t xml:space="preserve">, October.</w:t>
      </w:r>
      <w:r>
        <w:t xml:space="preserve"> </w:t>
      </w:r>
      <w:r>
        <w:t xml:space="preserve">MIT</w:t>
      </w:r>
      <w:r>
        <w:t xml:space="preserve"> </w:t>
      </w:r>
      <w:r>
        <w:t xml:space="preserve">Press - Journals, 1–15. doi:10.1162/jocn_a_01196.</w:t>
      </w:r>
    </w:p>
    <w:p>
      <w:pPr>
        <w:pStyle w:val="BodyText"/>
      </w:pPr>
      <w:r>
        <w:t xml:space="preserve">Sprague, Thomas C., Edward F. Ester, and John T. Serences. 2016.</w:t>
      </w:r>
      <w:r>
        <w:t xml:space="preserve"> </w:t>
      </w:r>
      <w:r>
        <w:t xml:space="preserve">“</w:t>
      </w:r>
      <w:r>
        <w:t xml:space="preserve">Restoring Latent Visual Working Memory Representations in Human Cortex</w:t>
      </w:r>
      <w:r>
        <w:t xml:space="preserve">”</w:t>
      </w:r>
      <w:r>
        <w:t xml:space="preserve">.</w:t>
      </w:r>
      <w:r>
        <w:t xml:space="preserve"> </w:t>
      </w:r>
      <w:r>
        <w:rPr>
          <w:i/>
        </w:rPr>
        <w:t xml:space="preserve">Neuron</w:t>
      </w:r>
      <w:r>
        <w:t xml:space="preserve"> </w:t>
      </w:r>
      <w:r>
        <w:t xml:space="preserve">91 (3). Elsevier</w:t>
      </w:r>
      <w:r>
        <w:t xml:space="preserve"> </w:t>
      </w:r>
      <w:r>
        <w:t xml:space="preserve">BV</w:t>
      </w:r>
      <w:r>
        <w:t xml:space="preserve">: 694–707. doi:10.1016/j.neuron.2016.07.006.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726d4a6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Relationship Type="http://schemas.openxmlformats.org/officeDocument/2006/relationships/image" Id="rId25" Target="media/rId25.pn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Spatially-specific delay period activity in the human superior colliculus</dc:title>
  <dc:creator>Kartik Sreenivasan; Kevin DeSimone</dc:creator>
  <dcterms:created xsi:type="dcterms:W3CDTF">2018-06-29T17:37:27Z</dcterms:created>
  <dcterms:modified xsi:type="dcterms:W3CDTF">2018-06-29T17:37:27Z</dcterms:modified>
</cp:coreProperties>
</file>