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Colloids</w:t>
      </w:r>
      <w:r>
        <w:t xml:space="preserve"> </w:t>
      </w:r>
      <w:r>
        <w:t xml:space="preserve">And</w:t>
      </w:r>
      <w:r>
        <w:t xml:space="preserve"> </w:t>
      </w:r>
      <w:r>
        <w:t xml:space="preserve">Surfaces</w:t>
      </w:r>
      <w:r>
        <w:t xml:space="preserve"> </w:t>
      </w:r>
      <w:r>
        <w:t xml:space="preserve">B</w:t>
      </w:r>
      <w:r>
        <w:t xml:space="preserve"> </w:t>
      </w:r>
      <w:r>
        <w:t xml:space="preserve">Biointerfaces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Marcia</w:t>
      </w:r>
    </w:p>
    <w:p>
      <w:pPr>
        <w:pStyle w:val="Abstract"/>
      </w:pP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present</w:t>
      </w:r>
      <w:r>
        <w:t xml:space="preserve"> </w:t>
      </w:r>
      <w:r>
        <w:t xml:space="preserve">study</w:t>
      </w:r>
      <w:r>
        <w:t xml:space="preserve"> </w:t>
      </w:r>
      <w:r>
        <w:t xml:space="preserve">a</w:t>
      </w:r>
      <w:r>
        <w:t xml:space="preserve"> </w:t>
      </w:r>
      <w:r>
        <w:t xml:space="preserve">small</w:t>
      </w:r>
      <w:r>
        <w:t xml:space="preserve"> </w:t>
      </w:r>
      <w:r>
        <w:t xml:space="preserve">reduction</w:t>
      </w:r>
      <w:r>
        <w:t xml:space="preserve"> </w:t>
      </w:r>
      <w:r>
        <w:t xml:space="preserve">in</w:t>
      </w:r>
      <w:r>
        <w:t xml:space="preserve"> </w:t>
      </w:r>
      <w:r>
        <w:t xml:space="preserve">charge</w:t>
      </w:r>
      <w:r>
        <w:t xml:space="preserve"> </w:t>
      </w:r>
      <w:r>
        <w:t xml:space="preserve">(10%</w:t>
      </w:r>
      <w:r>
        <w:t xml:space="preserve"> </w:t>
      </w:r>
      <w:r>
        <w:t xml:space="preserve">arginine</w:t>
      </w:r>
      <w:r>
        <w:t xml:space="preserve"> </w:t>
      </w:r>
      <w:r>
        <w:t xml:space="preserve">modification</w:t>
      </w:r>
      <w:r>
        <w:t xml:space="preserve"> </w:t>
      </w:r>
      <w:r>
        <w:t xml:space="preserve">with</w:t>
      </w:r>
      <w:r>
        <w:t xml:space="preserve"> </w:t>
      </w:r>
      <w:r>
        <w:t xml:space="preserve">1,2-cyclohexanedione</w:t>
      </w:r>
      <w:r>
        <w:t xml:space="preserve"> </w:t>
      </w:r>
      <w:r>
        <w:t xml:space="preserve">(CHD),</w:t>
      </w:r>
      <w:r>
        <w:t xml:space="preserve"> </w:t>
      </w:r>
      <w:r>
        <w:t xml:space="preserve">was</w:t>
      </w:r>
      <w:r>
        <w:t xml:space="preserve"> </w:t>
      </w:r>
      <w:r>
        <w:t xml:space="preserve">hypothesized</w:t>
      </w:r>
      <w:r>
        <w:t xml:space="preserve"> </w:t>
      </w:r>
      <w:r>
        <w:t xml:space="preserve">to</w:t>
      </w:r>
      <w:r>
        <w:t xml:space="preserve"> </w:t>
      </w:r>
      <w:r>
        <w:t xml:space="preserve">result</w:t>
      </w:r>
      <w:r>
        <w:t xml:space="preserve"> </w:t>
      </w:r>
      <w:r>
        <w:t xml:space="preserve">in</w:t>
      </w:r>
      <w:r>
        <w:t xml:space="preserve"> </w:t>
      </w:r>
      <w:r>
        <w:t xml:space="preserve">different</w:t>
      </w:r>
      <w:r>
        <w:t xml:space="preserve"> </w:t>
      </w:r>
      <w:r>
        <w:t xml:space="preserve">interactions</w:t>
      </w:r>
      <w:r>
        <w:t xml:space="preserve"> </w:t>
      </w:r>
      <w:r>
        <w:t xml:space="preserve">with</w:t>
      </w:r>
      <w:r>
        <w:t xml:space="preserve"> </w:t>
      </w:r>
      <w:r>
        <w:t xml:space="preserve">model</w:t>
      </w:r>
      <w:r>
        <w:t xml:space="preserve"> </w:t>
      </w:r>
      <w:r>
        <w:t xml:space="preserve">monolayers</w:t>
      </w:r>
      <w:r>
        <w:t xml:space="preserve"> </w:t>
      </w:r>
      <w:r>
        <w:t xml:space="preserve">composed</w:t>
      </w:r>
      <w:r>
        <w:t xml:space="preserve"> </w:t>
      </w:r>
      <w:r>
        <w:t xml:space="preserve">of</w:t>
      </w:r>
      <w:r>
        <w:t xml:space="preserve"> </w:t>
      </w:r>
      <w:r>
        <w:t xml:space="preserve">PE,</w:t>
      </w:r>
      <w:r>
        <w:t xml:space="preserve"> </w:t>
      </w:r>
      <w:r>
        <w:t xml:space="preserve">phosphatidylethanolamie,</w:t>
      </w:r>
      <w:r>
        <w:t xml:space="preserve"> </w:t>
      </w:r>
      <w:r>
        <w:t xml:space="preserve">79</w:t>
      </w:r>
      <w:r>
        <w:t xml:space="preserve"> </w:t>
      </w:r>
      <w:r>
        <w:t xml:space="preserve">mole%:PG,</w:t>
      </w:r>
      <w:r>
        <w:t xml:space="preserve"> </w:t>
      </w:r>
      <w:r>
        <w:t xml:space="preserve">phosphatidlyglycerol,</w:t>
      </w:r>
      <w:r>
        <w:t xml:space="preserve"> </w:t>
      </w:r>
      <w:r>
        <w:t xml:space="preserve">17</w:t>
      </w:r>
      <w:r>
        <w:t xml:space="preserve"> </w:t>
      </w:r>
      <w:r>
        <w:t xml:space="preserve">mole%:</w:t>
      </w:r>
      <w:r>
        <w:t xml:space="preserve"> </w:t>
      </w:r>
      <w:r>
        <w:t xml:space="preserve">and</w:t>
      </w:r>
      <w:r>
        <w:t xml:space="preserve"> </w:t>
      </w:r>
      <w:r>
        <w:t xml:space="preserve">CL,</w:t>
      </w:r>
      <w:r>
        <w:t xml:space="preserve"> </w:t>
      </w:r>
      <w:r>
        <w:t xml:space="preserve">cardiolipin,</w:t>
      </w:r>
      <w:r>
        <w:t xml:space="preserve"> </w:t>
      </w:r>
      <w:r>
        <w:t xml:space="preserve">4</w:t>
      </w:r>
      <w:r>
        <w:t xml:space="preserve"> </w:t>
      </w:r>
      <w:r>
        <w:t xml:space="preserve">mole%),</w:t>
      </w:r>
      <w:r>
        <w:t xml:space="preserve"> </w:t>
      </w:r>
      <w:r>
        <w:t xml:space="preserve">and</w:t>
      </w:r>
      <w:r>
        <w:t xml:space="preserve"> </w:t>
      </w:r>
      <w:r>
        <w:t xml:space="preserve">model</w:t>
      </w:r>
      <w:r>
        <w:t xml:space="preserve"> </w:t>
      </w:r>
      <w:r>
        <w:t xml:space="preserve">bilayer</w:t>
      </w:r>
      <w:r>
        <w:t xml:space="preserve"> </w:t>
      </w:r>
      <w:r>
        <w:t xml:space="preserve">membranes</w:t>
      </w:r>
      <w:r>
        <w:t xml:space="preserve"> </w:t>
      </w:r>
      <w:r>
        <w:t xml:space="preserve">composed</w:t>
      </w:r>
      <w:r>
        <w:t xml:space="preserve"> </w:t>
      </w:r>
      <w:r>
        <w:t xml:space="preserve">of</w:t>
      </w:r>
      <w:r>
        <w:t xml:space="preserve"> </w:t>
      </w:r>
      <w:r>
        <w:t xml:space="preserve">DPPC,</w:t>
      </w:r>
      <w:r>
        <w:t xml:space="preserve"> </w:t>
      </w:r>
      <w:r>
        <w:t xml:space="preserve">:</w:t>
      </w:r>
      <w:r>
        <w:t xml:space="preserve"> </w:t>
      </w:r>
      <w:r>
        <w:t xml:space="preserve">PE:PG:CL</w:t>
      </w:r>
      <w:r>
        <w:t xml:space="preserve"> </w:t>
      </w:r>
      <w:r>
        <w:t xml:space="preserve">(79:17:4</w:t>
      </w:r>
      <w:r>
        <w:t xml:space="preserve"> </w:t>
      </w:r>
      <w:r>
        <w:t xml:space="preserve">mole%).  </w:t>
      </w:r>
    </w:p>
    <w:p>
      <w:pPr>
        <w:pStyle w:val="Heading1"/>
      </w:pPr>
      <w:bookmarkStart w:id="21" w:name="introduction"/>
      <w:bookmarkEnd w:id="21"/>
      <w:r>
        <w:t xml:space="preserve">1. Introduction</w:t>
      </w:r>
    </w:p>
    <w:p>
      <w:pPr>
        <w:pStyle w:val="FirstParagraph"/>
      </w:pPr>
      <w:r>
        <w:t xml:space="preserve">There is a growing research interest into the use of natural cationic</w:t>
      </w:r>
      <w:r>
        <w:t xml:space="preserve"> </w:t>
      </w:r>
      <w:r>
        <w:t xml:space="preserve">antimicrobial peptides (CAPs) including peptides for use in food</w:t>
      </w:r>
      <w:r>
        <w:t xml:space="preserve"> </w:t>
      </w:r>
      <w:r>
        <w:t xml:space="preserve">preservation [1]. Long use of antibiotics has led to</w:t>
      </w:r>
      <w:r>
        <w:t xml:space="preserve"> </w:t>
      </w:r>
      <w:r>
        <w:t xml:space="preserve">resistance in some food pathogens [2]. However, cationic</w:t>
      </w:r>
      <w:r>
        <w:t xml:space="preserve"> </w:t>
      </w:r>
      <w:r>
        <w:t xml:space="preserve">antimicrobial peptides have exhibited broad spectrum inhibitory activity</w:t>
      </w:r>
      <w:r>
        <w:t xml:space="preserve"> </w:t>
      </w:r>
      <w:r>
        <w:t xml:space="preserve">against several foodborne pathogens and there have only been a few</w:t>
      </w:r>
      <w:r>
        <w:t xml:space="preserve"> </w:t>
      </w:r>
      <w:r>
        <w:t xml:space="preserve">reports of developed resistance  [3]. These properties of</w:t>
      </w:r>
      <w:r>
        <w:t xml:space="preserve"> </w:t>
      </w:r>
      <w:r>
        <w:t xml:space="preserve">CAPs have resented an opportunity for considering them as natural food</w:t>
      </w:r>
      <w:r>
        <w:t xml:space="preserve"> </w:t>
      </w:r>
      <w:r>
        <w:t xml:space="preserve">preservatives. In addition, some of these candidate compounds can be</w:t>
      </w:r>
      <w:r>
        <w:t xml:space="preserve"> </w:t>
      </w:r>
      <w:r>
        <w:t xml:space="preserve">extracted cheaply from waste streams ([4]. Clupeine is a</w:t>
      </w:r>
      <w:r>
        <w:t xml:space="preserve"> </w:t>
      </w:r>
      <w:r>
        <w:t xml:space="preserve">CAP that is extracted from the milt (sperm) of commercially caught fish</w:t>
      </w:r>
      <w:r>
        <w:t xml:space="preserve"> </w:t>
      </w:r>
      <w:r>
        <w:t xml:space="preserve">including salmon (salmine) and herring (clupeine). </w:t>
      </w:r>
    </w:p>
    <w:p>
      <w:pPr>
        <w:pStyle w:val="BodyText"/>
      </w:pPr>
      <w:r>
        <w:t xml:space="preserve">Previous work has shown native clupeine to be active against a range of</w:t>
      </w:r>
      <w:r>
        <w:t xml:space="preserve"> </w:t>
      </w:r>
      <w:r>
        <w:t xml:space="preserve">pathogenic and spoilage bacteria</w:t>
      </w:r>
      <w:r>
        <w:t xml:space="preserve"> </w:t>
      </w:r>
      <w:r>
        <w:t xml:space="preserve">([5] [6] [7] but</w:t>
      </w:r>
      <w:r>
        <w:t xml:space="preserve"> </w:t>
      </w:r>
      <w:r>
        <w:t xml:space="preserve">non-specific binding of the peptide to anionic food surfaces limits the</w:t>
      </w:r>
      <w:r>
        <w:t xml:space="preserve"> </w:t>
      </w:r>
      <w:r>
        <w:t xml:space="preserve">availability of the peptide to interact with the anionic surfaces of</w:t>
      </w:r>
      <w:r>
        <w:t xml:space="preserve"> </w:t>
      </w:r>
      <w:r>
        <w:t xml:space="preserve">target bacteria. However, these non-specific interactions can be</w:t>
      </w:r>
      <w:r>
        <w:t xml:space="preserve"> </w:t>
      </w:r>
      <w:r>
        <w:t xml:space="preserve">overcome by using, 1,2-cyclohexanedione (CHD) to modify charged arginine</w:t>
      </w:r>
      <w:r>
        <w:t xml:space="preserve"> </w:t>
      </w:r>
      <w:r>
        <w:t xml:space="preserve">moieties of clupeine (CHD-treated clupeine). Unlike the native peptide,</w:t>
      </w:r>
      <w:r>
        <w:t xml:space="preserve"> </w:t>
      </w:r>
      <w:r>
        <w:t xml:space="preserve">CHD-treated clupeine has shown significant reduction of Gram-negative</w:t>
      </w:r>
      <w:r>
        <w:t xml:space="preserve"> </w:t>
      </w:r>
      <w:r>
        <w:t xml:space="preserve">spoilage bacteria (</w:t>
      </w:r>
      <w:r>
        <w:rPr>
          <w:i/>
        </w:rPr>
        <w:t xml:space="preserve">Enterobacteriaceae</w:t>
      </w:r>
      <w:r>
        <w:t xml:space="preserve">) in ground beef and</w:t>
      </w:r>
      <w:r>
        <w:t xml:space="preserve"> </w:t>
      </w:r>
      <w:r>
        <w:t xml:space="preserve">milk [8].  This finding was significant since</w:t>
      </w:r>
      <w:r>
        <w:t xml:space="preserve"> </w:t>
      </w:r>
      <w:r>
        <w:t xml:space="preserve">Gram-negative bacteria are surrounded by two lipid bilayers: (1) an</w:t>
      </w:r>
      <w:r>
        <w:t xml:space="preserve"> </w:t>
      </w:r>
      <w:r>
        <w:t xml:space="preserve">inner cytoplasmic membrane, (2) an outer asymmetric membrane, the latter</w:t>
      </w:r>
      <w:r>
        <w:t xml:space="preserve"> </w:t>
      </w:r>
      <w:r>
        <w:t xml:space="preserve">protects the bacteria from harmful compounds in the environment, a</w:t>
      </w:r>
      <w:r>
        <w:t xml:space="preserve"> </w:t>
      </w:r>
      <w:r>
        <w:t xml:space="preserve">property which makes Gram-negative bacteria intrinsically more resistant</w:t>
      </w:r>
      <w:r>
        <w:t xml:space="preserve"> </w:t>
      </w:r>
      <w:r>
        <w:t xml:space="preserve">to most antimicrobial agents (Hancock and Rozek, 2002). Most of the</w:t>
      </w:r>
      <w:r>
        <w:t xml:space="preserve"> </w:t>
      </w:r>
      <w:r>
        <w:t xml:space="preserve">literature that has examined clupeine’s mode of interaction with</w:t>
      </w:r>
      <w:r>
        <w:t xml:space="preserve"> </w:t>
      </w:r>
      <w:r>
        <w:t xml:space="preserve">Gram-negative spoilage organisms has focused on the interactions of the</w:t>
      </w:r>
      <w:r>
        <w:t xml:space="preserve"> </w:t>
      </w:r>
      <w:r>
        <w:t xml:space="preserve">native peptide. Inspite of the improved antimicrobial activity observed</w:t>
      </w:r>
      <w:r>
        <w:t xml:space="preserve"> </w:t>
      </w:r>
      <w:r>
        <w:t xml:space="preserve">for the CHD-treated peptide, the structural details related to the</w:t>
      </w:r>
      <w:r>
        <w:t xml:space="preserve"> </w:t>
      </w:r>
      <w:r>
        <w:t xml:space="preserve">modified peptide’s mode of interaction with Gram-negative organisms is</w:t>
      </w:r>
      <w:r>
        <w:t xml:space="preserve"> </w:t>
      </w:r>
      <w:r>
        <w:t xml:space="preserve">not clearly defined.  Further studies on the mode of interaction of the</w:t>
      </w:r>
      <w:r>
        <w:t xml:space="preserve"> </w:t>
      </w:r>
      <w:r>
        <w:t xml:space="preserve">CHD-treated clupeine on bacterial targets are needed as the cause of the</w:t>
      </w:r>
      <w:r>
        <w:t xml:space="preserve"> </w:t>
      </w:r>
      <w:r>
        <w:t xml:space="preserve">increased antimicrobial effect in not known. </w:t>
      </w:r>
    </w:p>
    <w:p>
      <w:pPr>
        <w:pStyle w:val="BodyText"/>
      </w:pPr>
      <w:r>
        <w:t xml:space="preserve">Neutron reflectometry (NR) and X-ray reflectometry (XRR) are</w:t>
      </w:r>
      <w:r>
        <w:t xml:space="preserve"> </w:t>
      </w:r>
      <w:r>
        <w:t xml:space="preserve">complementary biophysical techniques that have been used to investigate</w:t>
      </w:r>
      <w:r>
        <w:t xml:space="preserve"> </w:t>
      </w:r>
      <w:r>
        <w:t xml:space="preserve">peptide-lipid interactions to understand changes  in membrane structures</w:t>
      </w:r>
      <w:r>
        <w:t xml:space="preserve"> </w:t>
      </w:r>
      <w:r>
        <w:t xml:space="preserve">in model biomembranes (Dabkowska et al., 2009; Fernandez et al., 2012; </w:t>
      </w:r>
      <w:r>
        <w:t xml:space="preserve"> </w:t>
      </w:r>
      <w:r>
        <w:t xml:space="preserve">Abuillan et al., 2013).  At this time, these complementary techniques</w:t>
      </w:r>
      <w:r>
        <w:t xml:space="preserve"> </w:t>
      </w:r>
      <w:r>
        <w:t xml:space="preserve">have not been applied to understand how native and CHD-treated clupeine</w:t>
      </w:r>
      <w:r>
        <w:t xml:space="preserve"> </w:t>
      </w:r>
      <w:r>
        <w:t xml:space="preserve">would interact with mixed lipid mono-and bilayer membranes representing</w:t>
      </w:r>
      <w:r>
        <w:t xml:space="preserve"> </w:t>
      </w:r>
      <w:r>
        <w:t xml:space="preserve">Gram-negative bacteria. In the work presented here, model monolayer</w:t>
      </w:r>
      <w:r>
        <w:t xml:space="preserve"> </w:t>
      </w:r>
      <w:r>
        <w:t xml:space="preserve">membranes were prepared based on the lipid composition present in the</w:t>
      </w:r>
      <w:r>
        <w:t xml:space="preserve"> </w:t>
      </w:r>
      <w:r>
        <w:t xml:space="preserve">inner membrane of the Gram-negative bacteria</w:t>
      </w:r>
      <w:r>
        <w:t xml:space="preserve"> </w:t>
      </w:r>
      <w:r>
        <w:rPr>
          <w:i/>
        </w:rPr>
        <w:t xml:space="preserve">Escherichia coli</w:t>
      </w:r>
      <w:r>
        <w:t xml:space="preserve"> </w:t>
      </w:r>
      <w:r>
        <w:t xml:space="preserve">(</w:t>
      </w:r>
      <w:r>
        <w:rPr>
          <w:i/>
        </w:rPr>
        <w:t xml:space="preserve">E. coli</w:t>
      </w:r>
      <w:r>
        <w:t xml:space="preserve">). NR and XRR  techniques were used to examine the</w:t>
      </w:r>
      <w:r>
        <w:t xml:space="preserve"> </w:t>
      </w:r>
      <w:r>
        <w:t xml:space="preserve">interactions of native and CHD-treated clupeine (with 10% arginine</w:t>
      </w:r>
      <w:r>
        <w:t xml:space="preserve"> </w:t>
      </w:r>
      <w:r>
        <w:t xml:space="preserve">modification) in PE, (phosphatidlyethanoylamine, 79 mole%):PG,</w:t>
      </w:r>
      <w:r>
        <w:t xml:space="preserve"> </w:t>
      </w:r>
      <w:r>
        <w:t xml:space="preserve">(phosphatidylglycerol, 17 mole%): CL, (cardiolipin 4 mole%)</w:t>
      </w:r>
      <w:r>
        <w:t xml:space="preserve"> </w:t>
      </w:r>
      <w:r>
        <w:t xml:space="preserve">monolayers.  In addition to the monolayer studies, bilayer membranes</w:t>
      </w:r>
      <w:r>
        <w:t xml:space="preserve"> </w:t>
      </w:r>
      <w:r>
        <w:t xml:space="preserve">that more accurately represent the asymmetry of the Gram-negative inner</w:t>
      </w:r>
      <w:r>
        <w:t xml:space="preserve"> </w:t>
      </w:r>
      <w:r>
        <w:t xml:space="preserve">membrane, were constructed using dipalmitoyl-phosphatidyl-choline (DPPC)</w:t>
      </w:r>
      <w:r>
        <w:t xml:space="preserve"> </w:t>
      </w:r>
      <w:r>
        <w:t xml:space="preserve">and PE:PG:CL.  For the bilayer studies, NR was used to characterize the</w:t>
      </w:r>
      <w:r>
        <w:t xml:space="preserve"> </w:t>
      </w:r>
      <w:r>
        <w:t xml:space="preserve">changes in the structure and composition of the bilayer in the presence</w:t>
      </w:r>
      <w:r>
        <w:t xml:space="preserve"> </w:t>
      </w:r>
      <w:r>
        <w:t xml:space="preserve">of the native or CHD-treated clupeine.</w:t>
      </w:r>
    </w:p>
    <w:p>
      <w:pPr>
        <w:pStyle w:val="BodyText"/>
      </w:pPr>
      <w:r>
        <w:t xml:space="preserve"> 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t xml:space="preserve">Ma .</w:t>
      </w:r>
    </w:p>
    <w:p>
      <w:pPr>
        <w:pStyle w:val="BodyText"/>
      </w:pPr>
      <w:r>
        <w:t xml:space="preserve">Neu, interdum ultricies 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</w:p>
    <w:p>
      <w:pPr>
        <w:pStyle w:val="Heading1"/>
      </w:pPr>
      <w:bookmarkStart w:id="24" w:name="materials-and-method"/>
      <w:bookmarkEnd w:id="24"/>
      <w:r>
        <w:t xml:space="preserve">2. Materials and Method</w:t>
      </w:r>
    </w:p>
    <w:p>
      <w:pPr>
        <w:pStyle w:val="Heading1"/>
      </w:pPr>
      <w:bookmarkStart w:id="25" w:name="materials"/>
      <w:bookmarkEnd w:id="25"/>
      <w:r>
        <w:t xml:space="preserve">Materials</w:t>
      </w:r>
    </w:p>
    <w:p>
      <w:pPr>
        <w:pStyle w:val="Heading1"/>
      </w:pPr>
      <w:bookmarkStart w:id="26" w:name="section-1"/>
      <w:bookmarkEnd w:id="26"/>
    </w:p>
    <w:p>
      <w:pPr>
        <w:pStyle w:val="Heading1"/>
      </w:pPr>
      <w:bookmarkStart w:id="27" w:name="results-anddiscussions"/>
      <w:bookmarkEnd w:id="27"/>
      <w:r>
        <w:t xml:space="preserve">Results andDiscussions</w:t>
      </w:r>
    </w:p>
    <w:p>
      <w:pPr>
        <w:pStyle w:val="FirstParagraph"/>
      </w:pPr>
      <w:r>
        <w:t xml:space="preserve">Nunc a ae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8" w:name="acknowledgements"/>
      <w:bookmarkEnd w:id="28"/>
      <w:r>
        <w:t xml:space="preserve">Acknowledgements</w:t>
      </w:r>
    </w:p>
    <w:p>
      <w:pPr>
        <w:pStyle w:val="FirstParagraph"/>
      </w:pPr>
      <w:r>
        <w:t xml:space="preserve">Lorem ipsum .</w:t>
      </w:r>
    </w:p>
    <w:p>
      <w:pPr>
        <w:pStyle w:val="Heading1"/>
      </w:pPr>
      <w:bookmarkStart w:id="29" w:name="references"/>
      <w:bookmarkEnd w:id="29"/>
      <w:r>
        <w:t xml:space="preserve">References</w:t>
      </w:r>
    </w:p>
    <w:p>
      <w:pPr>
        <w:pStyle w:val="FirstParagraph"/>
      </w:pPr>
      <w:r>
        <w:t xml:space="preserve">, Journal of Food Safety. 29 (2009) 14–25. doi:10.1111/j.1745-4565.2008.00145.x.</w:t>
      </w:r>
    </w:p>
    <w:p>
      <w:pPr>
        <w:pStyle w:val="BodyText"/>
      </w:pPr>
      <w:r>
        <w:t xml:space="preserve">[2]K. Keymanesh, S. Soltani, S. Sardari,</w:t>
      </w:r>
      <w:r>
        <w:t xml:space="preserve"> </w:t>
      </w:r>
      <w:r>
        <w:t xml:space="preserve">Application of antimicrobial peptides in agriculture and food industry</w:t>
      </w:r>
      <w:r>
        <w:t xml:space="preserve">, World Journal of Microbiology and Biotechnology. 25 (2009) 933–944. doi:10.1007/s11274-009-9984-7.</w:t>
      </w:r>
    </w:p>
    <w:p>
      <w:pPr>
        <w:pStyle w:val="BodyText"/>
      </w:pPr>
      <w:r>
        <w:t xml:space="preserve">[3]J.L. Anaya-L</w:t>
      </w:r>
      <w:r>
        <w:t xml:space="preserve">ó</w:t>
      </w:r>
      <w:r>
        <w:t xml:space="preserve">pez, J.E. L</w:t>
      </w:r>
      <w:r>
        <w:t xml:space="preserve">ó</w:t>
      </w:r>
      <w:r>
        <w:t xml:space="preserve">pez-Meza, A. Ochoa-Zarzosa,</w:t>
      </w:r>
      <w:r>
        <w:t xml:space="preserve"> </w:t>
      </w:r>
      <w:r>
        <w:t xml:space="preserve">Bacterial resistance to cationic antimicrobial peptides</w:t>
      </w:r>
      <w:r>
        <w:t xml:space="preserve">, Critical Reviews in Microbiology. 39 (2012) 180–195. doi:10.3109/1040841x.2012.699025.</w:t>
      </w:r>
    </w:p>
    <w:p>
      <w:pPr>
        <w:pStyle w:val="BodyText"/>
      </w:pPr>
      <w:r>
        <w:t xml:space="preserve">[4]T.A. Gill, D.S. Singer, J.W. Thompson,</w:t>
      </w:r>
      <w:r>
        <w:t xml:space="preserve"> </w:t>
      </w:r>
      <w:r>
        <w:t xml:space="preserve">Purification and analysis of protamine</w:t>
      </w:r>
      <w:r>
        <w:t xml:space="preserve">, Process Biochemistry. 41 (2006) 1875–1882. doi:10.1016/j.procbio.2006.04.001.</w:t>
      </w:r>
    </w:p>
    <w:p>
      <w:pPr>
        <w:pStyle w:val="BodyText"/>
      </w:pPr>
      <w:r>
        <w:t xml:space="preserve">[5]N.M.D. Islam, H. Oda, T. Motohiro,</w:t>
      </w:r>
      <w:r>
        <w:t xml:space="preserve"> </w:t>
      </w:r>
      <w:r>
        <w:t xml:space="preserve">Antibacterial characteristics of fish protamines.</w:t>
      </w:r>
      <w:r>
        <w:t xml:space="preserve"> </w:t>
      </w:r>
      <w:r>
        <w:t xml:space="preserve">VI</w:t>
      </w:r>
      <w:r>
        <w:t xml:space="preserve"> </w:t>
      </w:r>
      <w:r>
        <w:t xml:space="preserve">Changes in the cell morphology and the release of soluble constituents from the washed cells of Bacillus subtilis by the action of protamine.</w:t>
      </w:r>
      <w:r>
        <w:t xml:space="preserve">,</w:t>
      </w:r>
      <w:r>
        <w:t xml:space="preserve"> </w:t>
      </w:r>
      <w:r>
        <w:t xml:space="preserve">NIPPON</w:t>
      </w:r>
      <w:r>
        <w:t xml:space="preserve"> </w:t>
      </w:r>
      <w:r>
        <w:t xml:space="preserve">SUISAN</w:t>
      </w:r>
      <w:r>
        <w:t xml:space="preserve"> </w:t>
      </w:r>
      <w:r>
        <w:t xml:space="preserve">GAKKAISHI</w:t>
      </w:r>
      <w:r>
        <w:t xml:space="preserve">. 53 (1987) 297–303. doi:10.2331/suisan.53.297.</w:t>
      </w:r>
    </w:p>
    <w:p>
      <w:pPr>
        <w:pStyle w:val="BodyText"/>
      </w:pPr>
      <w:r>
        <w:t xml:space="preserve">[6]C. Johansen, T. Gill, L. Gram,</w:t>
      </w:r>
      <w:r>
        <w:t xml:space="preserve"> </w:t>
      </w:r>
      <w:r>
        <w:t xml:space="preserve">Antibacterial effect of protamine assayed by impedimetry</w:t>
      </w:r>
      <w:r>
        <w:t xml:space="preserve">, Journal of Applied Bacteriology. 78 (1995) 297–303. doi:10.1111/j.1365-2672.1995.tb05029.x.</w:t>
      </w:r>
    </w:p>
    <w:p>
      <w:pPr>
        <w:pStyle w:val="BodyText"/>
      </w:pPr>
      <w:r>
        <w:t xml:space="preserve">[7]L.T. Hansen, T. Gill,</w:t>
      </w:r>
      <w:r>
        <w:t xml:space="preserve"> </w:t>
      </w:r>
      <w:r>
        <w:t xml:space="preserve">Solubility and antimicrobial efficacy of protamine on Listeria monocytogenes and Escherichia coli as influenced by</w:t>
      </w:r>
      <w:r>
        <w:t xml:space="preserve"> </w:t>
      </w:r>
      <w:r>
        <w:t xml:space="preserve">pH</w:t>
      </w:r>
      <w:r>
        <w:t xml:space="preserve">, Journal of Applied Microbiology. 88 (2000) 1049–1055. doi:10.1046/j.1365-2672.2000.01074.x.</w:t>
      </w:r>
    </w:p>
    <w:p>
      <w:pPr>
        <w:pStyle w:val="BodyText"/>
      </w:pPr>
      <w:r>
        <w:t xml:space="preserve">[8]R. Potter, L.T. Hansen, T. Gill,</w:t>
      </w:r>
      <w:r>
        <w:t xml:space="preserve"> </w:t>
      </w:r>
      <w:r>
        <w:t xml:space="preserve">Inhibition of foodborne bacteria by native and modified protamine: Importance of electrostatic interactions</w:t>
      </w:r>
      <w:r>
        <w:t xml:space="preserve">, International Journal of Food Microbiology. 103 (2005) 23–34. doi:10.1016/j.ijfoodmicro.2004.12.019.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48b68a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Colloids And Surfaces B Biointerfaces Template</dc:title>
  <dc:creator>Marcia</dc:creator>
  <dcterms:created xsi:type="dcterms:W3CDTF">2019-02-22T16:53:54Z</dcterms:created>
  <dcterms:modified xsi:type="dcterms:W3CDTF">2019-02-22T16:53:54Z</dcterms:modified>
</cp:coreProperties>
</file>