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9.png" ContentType="image/png"/>
  <Override PartName="/word/media/rId23.png" ContentType="image/png"/>
  <Override PartName="/word/media/rId26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TXY</w:t>
      </w:r>
      <w:r>
        <w:t xml:space="preserve"> </w:t>
      </w:r>
      <w:r>
        <w:t xml:space="preserve">dgdf</w:t>
      </w:r>
    </w:p>
    <w:p>
      <w:pPr>
        <w:pStyle w:val="Author"/>
      </w:pPr>
      <w:r>
        <w:t xml:space="preserve">And</w:t>
      </w:r>
      <w:r>
        <w:t xml:space="preserve"> </w:t>
      </w:r>
      <w:r>
        <w:t xml:space="preserve">Turken</w:t>
      </w:r>
      <w:r>
        <w:br w:type="textWrapping"/>
      </w:r>
      <w:r>
        <w:t xml:space="preserve">Affiliation</w:t>
      </w:r>
      <w:r>
        <w:t xml:space="preserve"> </w:t>
      </w:r>
      <w:r>
        <w:t xml:space="preserve">not</w:t>
      </w:r>
      <w:r>
        <w:t xml:space="preserve"> </w:t>
      </w:r>
      <w:r>
        <w:t xml:space="preserve">available</w:t>
      </w:r>
    </w:p>
    <w:p>
      <w:pPr>
        <w:pStyle w:val="Abstract"/>
      </w:pPr>
      <w:r>
        <w:t xml:space="preserve">Abstract</w:t>
      </w:r>
    </w:p>
    <w:p>
      <w:pPr>
        <w:pStyle w:val="Abstract"/>
      </w:pPr>
      <w:r>
        <w:t xml:space="preserve">content</w:t>
      </w:r>
      <w:r>
        <w:t xml:space="preserve"> </w:t>
      </w:r>
      <w:r>
        <w:t xml:space="preserve">sretyrte</w:t>
      </w:r>
    </w:p>
    <w:p>
      <w:pPr>
        <w:pStyle w:val="Abstract"/>
      </w:pPr>
      <w:r>
        <w:t xml:space="preserve">ity</w:t>
      </w:r>
      <w:r>
        <w:t xml:space="preserve"> </w:t>
      </w:r>
      <w:r>
        <w:t xml:space="preserve">goes</w:t>
      </w:r>
      <w:r>
        <w:t xml:space="preserve"> </w:t>
      </w:r>
      <w:r>
        <w:t xml:space="preserve">here</w:t>
      </w:r>
      <w:r>
        <w:t xml:space="preserve"> </w:t>
      </w:r>
      <w:r>
        <w:t xml:space="preserve">fdgsfdghdsfghdfgdghf</w:t>
      </w:r>
    </w:p>
    <w:p>
      <w:pPr>
        <w:pStyle w:val="Abstract"/>
      </w:pPr>
      <w:r>
        <w:t xml:space="preserve">ghygf</w:t>
      </w:r>
    </w:p>
    <w:p>
      <w:pPr>
        <w:pStyle w:val="Abstract"/>
      </w:pPr>
      <w:r>
        <w:t xml:space="preserve">hjfty</w:t>
      </w:r>
      <w:r>
        <w:t xml:space="preserve"> </w:t>
      </w:r>
      <w:r>
        <w:t xml:space="preserve">(Swick,</w:t>
      </w:r>
      <w:r>
        <w:t xml:space="preserve"> </w:t>
      </w:r>
      <w:r>
        <w:t xml:space="preserve">Honzel,</w:t>
      </w:r>
      <w:r>
        <w:t xml:space="preserve"> </w:t>
      </w:r>
      <w:r>
        <w:t xml:space="preserve">and</w:t>
      </w:r>
      <w:r>
        <w:t xml:space="preserve"> </w:t>
      </w:r>
      <w:r>
        <w:t xml:space="preserve">Turken</w:t>
      </w:r>
      <w:r>
        <w:t xml:space="preserve"> </w:t>
      </w:r>
      <w:r>
        <w:t xml:space="preserve">2015)</w:t>
      </w:r>
    </w:p>
    <w:p>
      <w:pPr>
        <w:pStyle w:val="FirstParagraph"/>
      </w:pPr>
      <w:r>
        <w:t xml:space="preserve">=1</w:t>
      </w:r>
    </w:p>
    <w:p>
      <w:pPr>
        <w:pStyle w:val="Heading1"/>
      </w:pPr>
      <w:bookmarkStart w:id="21" w:name="introduction"/>
      <w:bookmarkEnd w:id="21"/>
      <w:r>
        <w:t xml:space="preserve">Introduction</w:t>
      </w:r>
    </w:p>
    <w:p>
      <w:pPr>
        <w:pStyle w:val="FirstParagraph"/>
      </w:pPr>
      <w:r>
        <w:t xml:space="preserve">This is a Markdown block and you can use Markdown syntax to</w:t>
      </w:r>
      <w:r>
        <w:t xml:space="preserve"> </w:t>
      </w:r>
      <w:r>
        <w:rPr>
          <w:b/>
        </w:rPr>
        <w:t xml:space="preserve">bold</w:t>
      </w:r>
      <w:r>
        <w:t xml:space="preserve"> </w:t>
      </w:r>
      <w:r>
        <w:t xml:space="preserve">or</w:t>
      </w:r>
      <w:r>
        <w:t xml:space="preserve"> </w:t>
      </w:r>
      <w:r>
        <w:rPr>
          <w:i/>
        </w:rPr>
        <w:t xml:space="preserve">italic</w:t>
      </w:r>
      <w:r>
        <w:t xml:space="preserve"> </w:t>
      </w:r>
      <w:r>
        <w:t xml:space="preserve">text.</w:t>
      </w:r>
    </w:p>
    <w:p>
      <w:pPr>
        <w:pStyle w:val="Heading2"/>
      </w:pPr>
      <w:bookmarkStart w:id="22" w:name="a-few-tips"/>
      <w:bookmarkEnd w:id="22"/>
      <w:r>
        <w:t xml:space="preserve">A few tips</w:t>
      </w:r>
    </w:p>
    <w:p>
      <w:pPr>
        <w:numPr>
          <w:numId w:val="1001"/>
          <w:ilvl w:val="0"/>
        </w:numPr>
      </w:pPr>
      <w:r>
        <w:t xml:space="preserve">Click anywhere outside of this Markdown block to render it</w:t>
      </w:r>
    </w:p>
    <w:p>
      <w:pPr>
        <w:numPr>
          <w:numId w:val="1001"/>
          <w:ilvl w:val="0"/>
        </w:numPr>
      </w:pPr>
      <w:r>
        <w:t xml:space="preserve">Hover on Preview to see a preview of the rendered content</w:t>
      </w:r>
    </w:p>
    <w:p>
      <w:pPr>
        <w:numPr>
          <w:numId w:val="1001"/>
          <w:ilvl w:val="0"/>
        </w:numPr>
      </w:pPr>
      <w:r>
        <w:t xml:space="preserve">Use the Insert Figure button to add images (and data)</w:t>
      </w:r>
    </w:p>
    <w:p>
      <w:pPr>
        <w:numPr>
          <w:numId w:val="1001"/>
          <w:ilvl w:val="0"/>
        </w:numPr>
      </w:pPr>
      <w:r>
        <w:t xml:space="preserve">Use LaTeX to add equations, e.g. </w:t>
      </w:r>
      <w:r>
        <w:t xml:space="preserve">$\mathcal L_{EM}=-\frac14F^{\mu\nu}F_{\mu\nu}$</w:t>
      </w:r>
    </w:p>
    <w:p>
      <w:pPr>
        <w:numPr>
          <w:numId w:val="1001"/>
          <w:ilvl w:val="0"/>
        </w:numPr>
      </w:pPr>
      <w:r>
        <w:t xml:space="preserve">Search scholarly sources and references by clicking</w:t>
      </w:r>
      <w:r>
        <w:t xml:space="preserve"> </w:t>
      </w:r>
      <w:r>
        <w:rPr>
          <w:b/>
        </w:rPr>
        <w:t xml:space="preserve">cite</w:t>
      </w:r>
    </w:p>
    <w:p>
      <w:pPr>
        <w:numPr>
          <w:numId w:val="1001"/>
          <w:ilvl w:val="0"/>
        </w:numPr>
      </w:pPr>
      <w:r>
        <w:t xml:space="preserve">To insert more Markdown blocks, click Insert</w:t>
      </w:r>
      <w:r>
        <w:t xml:space="preserve"> </w:t>
      </w:r>
      <m:oMath>
        <m:r>
          <m:t>→</m:t>
        </m:r>
      </m:oMath>
      <w:r>
        <w:t xml:space="preserve"> </w:t>
      </w:r>
      <w:r>
        <w:t xml:space="preserve">Markdown.</w:t>
      </w:r>
    </w:p>
    <w:p>
      <w:pPr>
        <w:pStyle w:val="FigureWithCaption"/>
      </w:pPr>
      <w:r>
        <w:drawing>
          <wp:inline>
            <wp:extent cx="4177492" cy="2880818"/>
            <wp:effectExtent b="0" l="0" r="0" t="0"/>
            <wp:docPr descr="K " title="" id="1" name="Picture"/>
            <a:graphic>
              <a:graphicData uri="http://schemas.openxmlformats.org/drawingml/2006/picture">
                <pic:pic>
                  <pic:nvPicPr>
                    <pic:cNvPr descr="figures/The-Great-Wave-off-Kanagawa-rl/The-Great-Wave-off-Kanagawa-r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28808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K</w:t>
      </w:r>
      <w:r>
        <w:t xml:space="preserve"> </w:t>
      </w:r>
    </w:p>
    <w:p>
      <w:pPr>
        <w:pStyle w:val="BodyText"/>
      </w:pPr>
      <w:r>
        <w:t xml:space="preserve">Efdgfhgfgdfd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4" w:name="dddtuhytjyu"/>
      <w:bookmarkEnd w:id="24"/>
      <w:r>
        <w:t xml:space="preserve">DDDtuhytjyu</w:t>
      </w:r>
    </w:p>
    <w:p>
      <w:pPr>
        <w:pStyle w:val="FirstParagraph"/>
      </w:pPr>
      <w:r>
        <w:br w:type="textWrapping"/>
      </w:r>
      <w:r>
        <w:t xml:space="preserve">fdghfgh (Kang et al. 2012)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Heading2"/>
      </w:pPr>
      <w:bookmarkStart w:id="25" w:name="csdtgref"/>
      <w:bookmarkEnd w:id="25"/>
      <w:r>
        <w:t xml:space="preserve">Csdtgref</w:t>
      </w:r>
    </w:p>
    <w:p>
      <w:pPr>
        <w:pStyle w:val="FirstParagraph"/>
      </w:pPr>
      <w:r>
        <w:t xml:space="preserve">rgrt</w:t>
      </w:r>
    </w:p>
    <w:p>
      <w:pPr>
        <w:pStyle w:val="BodyText"/>
      </w:pPr>
      <w:r>
        <w:t xml:space="preserve">trtr</w:t>
      </w:r>
    </w:p>
    <w:p>
      <w:pPr>
        <w:pStyle w:val="BodyText"/>
      </w:pPr>
      <w:r>
        <w:br w:type="textWrapping"/>
      </w:r>
      <w:r>
        <w:t xml:space="preserve">(Swick et al. 2017)</w:t>
      </w:r>
    </w:p>
    <w:p>
      <w:pPr>
        <w:pStyle w:val="BodyText"/>
      </w:pPr>
      <w:r>
        <w:br w:type="textWrapping"/>
      </w:r>
      <w:r>
        <w:br w:type="textWrapping"/>
      </w:r>
      <w:r>
        <w:t xml:space="preserve">ABCDE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TableCaption"/>
      </w:pPr>
      <w:r>
        <w:t xml:space="preserve">table This is a caption</w:t>
      </w:r>
      <w:r>
        <w:t xml:space="preserve"> </w:t>
      </w:r>
    </w:p>
    <w:tbl>
      <w:tblPr>
        <w:tblStyle w:val="TableNormal"/>
        <w:tblW w:type="pct" w:w="0.0"/>
        <w:tblLook/>
        <w:tblCaption w:val="table This is a caption "/>
      </w:tblPr>
      <w:tblGrid/>
      <w:tr>
        <w:tc>
          <w:p>
            <w:pPr>
              <w:pStyle w:val="Compact"/>
              <w:jc w:val="center"/>
            </w:pPr>
            <w:r>
              <w:t xml:space="preserve">dataset</w:t>
            </w:r>
          </w:p>
        </w:tc>
        <w:tc>
          <w:p>
            <w:pPr>
              <w:pStyle w:val="Compact"/>
              <w:jc w:val="center"/>
            </w:pPr>
            <w:r>
              <w:t xml:space="preserve">x</w:t>
            </w:r>
          </w:p>
        </w:tc>
        <w:tc>
          <w:p>
            <w:pPr>
              <w:pStyle w:val="Compact"/>
              <w:jc w:val="center"/>
            </w:pPr>
            <w:r>
              <w:t xml:space="preserve">y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</w:t>
            </w:r>
          </w:p>
        </w:tc>
        <w:tc>
          <w:p>
            <w:pPr>
              <w:pStyle w:val="Compact"/>
              <w:jc w:val="center"/>
            </w:pPr>
            <w:r>
              <w:t xml:space="preserve">10.0</w:t>
            </w:r>
          </w:p>
        </w:tc>
        <w:tc>
          <w:p>
            <w:pPr>
              <w:pStyle w:val="Compact"/>
              <w:jc w:val="center"/>
            </w:pPr>
            <w:r>
              <w:t xml:space="preserve">8.04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</w:t>
            </w:r>
          </w:p>
        </w:tc>
        <w:tc>
          <w:p>
            <w:pPr>
              <w:pStyle w:val="Compact"/>
              <w:jc w:val="center"/>
            </w:pPr>
            <w:r>
              <w:t xml:space="preserve">8.0</w:t>
            </w:r>
          </w:p>
        </w:tc>
        <w:tc>
          <w:p>
            <w:pPr>
              <w:pStyle w:val="Compact"/>
              <w:jc w:val="center"/>
            </w:pPr>
            <w:r>
              <w:t xml:space="preserve">6.95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</w:t>
            </w:r>
          </w:p>
        </w:tc>
        <w:tc>
          <w:p>
            <w:pPr>
              <w:pStyle w:val="Compact"/>
              <w:jc w:val="center"/>
            </w:pPr>
            <w:r>
              <w:t xml:space="preserve">13.0</w:t>
            </w:r>
          </w:p>
        </w:tc>
        <w:tc>
          <w:p>
            <w:pPr>
              <w:pStyle w:val="Compact"/>
              <w:jc w:val="center"/>
            </w:pPr>
            <w:r>
              <w:t xml:space="preserve">7.58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</w:t>
            </w:r>
          </w:p>
        </w:tc>
        <w:tc>
          <w:p>
            <w:pPr>
              <w:pStyle w:val="Compact"/>
              <w:jc w:val="center"/>
            </w:pPr>
            <w:r>
              <w:t xml:space="preserve">9.0</w:t>
            </w:r>
          </w:p>
        </w:tc>
        <w:tc>
          <w:p>
            <w:pPr>
              <w:pStyle w:val="Compact"/>
              <w:jc w:val="center"/>
            </w:pPr>
            <w:r>
              <w:t xml:space="preserve">8.81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</w:t>
            </w:r>
          </w:p>
        </w:tc>
        <w:tc>
          <w:p>
            <w:pPr>
              <w:pStyle w:val="Compact"/>
              <w:jc w:val="center"/>
            </w:pPr>
            <w:r>
              <w:t xml:space="preserve">11.0</w:t>
            </w:r>
          </w:p>
        </w:tc>
        <w:tc>
          <w:p>
            <w:pPr>
              <w:pStyle w:val="Compact"/>
              <w:jc w:val="center"/>
            </w:pPr>
            <w:r>
              <w:t xml:space="preserve">8.33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</w:t>
            </w:r>
          </w:p>
        </w:tc>
        <w:tc>
          <w:p>
            <w:pPr>
              <w:pStyle w:val="Compact"/>
              <w:jc w:val="center"/>
            </w:pPr>
            <w:r>
              <w:t xml:space="preserve">14.0</w:t>
            </w:r>
          </w:p>
        </w:tc>
        <w:tc>
          <w:p>
            <w:pPr>
              <w:pStyle w:val="Compact"/>
              <w:jc w:val="center"/>
            </w:pPr>
            <w:r>
              <w:t xml:space="preserve">9.96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</w:t>
            </w:r>
          </w:p>
        </w:tc>
        <w:tc>
          <w:p>
            <w:pPr>
              <w:pStyle w:val="Compact"/>
              <w:jc w:val="center"/>
            </w:pPr>
            <w:r>
              <w:t xml:space="preserve">6.0</w:t>
            </w:r>
          </w:p>
        </w:tc>
        <w:tc>
          <w:p>
            <w:pPr>
              <w:pStyle w:val="Compact"/>
              <w:jc w:val="center"/>
            </w:pPr>
            <w:r>
              <w:t xml:space="preserve">7.24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</w:t>
            </w:r>
          </w:p>
        </w:tc>
        <w:tc>
          <w:p>
            <w:pPr>
              <w:pStyle w:val="Compact"/>
              <w:jc w:val="center"/>
            </w:pPr>
            <w:r>
              <w:t xml:space="preserve">4.0</w:t>
            </w:r>
          </w:p>
        </w:tc>
        <w:tc>
          <w:p>
            <w:pPr>
              <w:pStyle w:val="Compact"/>
              <w:jc w:val="center"/>
            </w:pPr>
            <w:r>
              <w:t xml:space="preserve">4.26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</w:t>
            </w:r>
          </w:p>
        </w:tc>
        <w:tc>
          <w:p>
            <w:pPr>
              <w:pStyle w:val="Compact"/>
              <w:jc w:val="center"/>
            </w:pPr>
            <w:r>
              <w:t xml:space="preserve">12.0</w:t>
            </w:r>
          </w:p>
        </w:tc>
        <w:tc>
          <w:p>
            <w:pPr>
              <w:pStyle w:val="Compact"/>
              <w:jc w:val="center"/>
            </w:pPr>
            <w:r>
              <w:t xml:space="preserve">10.84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</w:t>
            </w:r>
          </w:p>
        </w:tc>
        <w:tc>
          <w:p>
            <w:pPr>
              <w:pStyle w:val="Compact"/>
              <w:jc w:val="center"/>
            </w:pPr>
            <w:r>
              <w:t xml:space="preserve">7.0</w:t>
            </w:r>
          </w:p>
        </w:tc>
        <w:tc>
          <w:p>
            <w:pPr>
              <w:pStyle w:val="Compact"/>
              <w:jc w:val="center"/>
            </w:pPr>
            <w:r>
              <w:t xml:space="preserve">4.82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</w:t>
            </w:r>
          </w:p>
        </w:tc>
        <w:tc>
          <w:p>
            <w:pPr>
              <w:pStyle w:val="Compact"/>
              <w:jc w:val="center"/>
            </w:pPr>
            <w:r>
              <w:t xml:space="preserve">5.0</w:t>
            </w:r>
          </w:p>
        </w:tc>
        <w:tc>
          <w:p>
            <w:pPr>
              <w:pStyle w:val="Compact"/>
              <w:jc w:val="center"/>
            </w:pPr>
            <w:r>
              <w:t xml:space="preserve">5.68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II</w:t>
            </w:r>
          </w:p>
        </w:tc>
        <w:tc>
          <w:p>
            <w:pPr>
              <w:pStyle w:val="Compact"/>
              <w:jc w:val="center"/>
            </w:pPr>
            <w:r>
              <w:t xml:space="preserve">10.0</w:t>
            </w:r>
          </w:p>
        </w:tc>
        <w:tc>
          <w:p>
            <w:pPr>
              <w:pStyle w:val="Compact"/>
              <w:jc w:val="center"/>
            </w:pPr>
            <w:r>
              <w:t xml:space="preserve">9.14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II</w:t>
            </w:r>
          </w:p>
        </w:tc>
        <w:tc>
          <w:p>
            <w:pPr>
              <w:pStyle w:val="Compact"/>
              <w:jc w:val="center"/>
            </w:pPr>
            <w:r>
              <w:t xml:space="preserve">8.0</w:t>
            </w:r>
          </w:p>
        </w:tc>
        <w:tc>
          <w:p>
            <w:pPr>
              <w:pStyle w:val="Compact"/>
              <w:jc w:val="center"/>
            </w:pPr>
            <w:r>
              <w:t xml:space="preserve">8.14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II</w:t>
            </w:r>
          </w:p>
        </w:tc>
        <w:tc>
          <w:p>
            <w:pPr>
              <w:pStyle w:val="Compact"/>
              <w:jc w:val="center"/>
            </w:pPr>
            <w:r>
              <w:t xml:space="preserve">13.0</w:t>
            </w:r>
          </w:p>
        </w:tc>
        <w:tc>
          <w:p>
            <w:pPr>
              <w:pStyle w:val="Compact"/>
              <w:jc w:val="center"/>
            </w:pPr>
            <w:r>
              <w:t xml:space="preserve">8.74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II</w:t>
            </w:r>
          </w:p>
        </w:tc>
        <w:tc>
          <w:p>
            <w:pPr>
              <w:pStyle w:val="Compact"/>
              <w:jc w:val="center"/>
            </w:pPr>
            <w:r>
              <w:t xml:space="preserve">9.0</w:t>
            </w:r>
          </w:p>
        </w:tc>
        <w:tc>
          <w:p>
            <w:pPr>
              <w:pStyle w:val="Compact"/>
              <w:jc w:val="center"/>
            </w:pPr>
            <w:r>
              <w:t xml:space="preserve">8.77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II</w:t>
            </w:r>
          </w:p>
        </w:tc>
        <w:tc>
          <w:p>
            <w:pPr>
              <w:pStyle w:val="Compact"/>
              <w:jc w:val="center"/>
            </w:pPr>
            <w:r>
              <w:t xml:space="preserve">11.0</w:t>
            </w:r>
          </w:p>
        </w:tc>
        <w:tc>
          <w:p>
            <w:pPr>
              <w:pStyle w:val="Compact"/>
              <w:jc w:val="center"/>
            </w:pPr>
            <w:r>
              <w:t xml:space="preserve">9.26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II</w:t>
            </w:r>
          </w:p>
        </w:tc>
        <w:tc>
          <w:p>
            <w:pPr>
              <w:pStyle w:val="Compact"/>
              <w:jc w:val="center"/>
            </w:pPr>
            <w:r>
              <w:t xml:space="preserve">14.0</w:t>
            </w:r>
          </w:p>
        </w:tc>
        <w:tc>
          <w:p>
            <w:pPr>
              <w:pStyle w:val="Compact"/>
              <w:jc w:val="center"/>
            </w:pPr>
            <w:r>
              <w:t xml:space="preserve">8.1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II</w:t>
            </w:r>
          </w:p>
        </w:tc>
        <w:tc>
          <w:p>
            <w:pPr>
              <w:pStyle w:val="Compact"/>
              <w:jc w:val="center"/>
            </w:pPr>
            <w:r>
              <w:t xml:space="preserve">6.0</w:t>
            </w:r>
          </w:p>
        </w:tc>
        <w:tc>
          <w:p>
            <w:pPr>
              <w:pStyle w:val="Compact"/>
              <w:jc w:val="center"/>
            </w:pPr>
            <w:r>
              <w:t xml:space="preserve">6.13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II</w:t>
            </w:r>
          </w:p>
        </w:tc>
        <w:tc>
          <w:p>
            <w:pPr>
              <w:pStyle w:val="Compact"/>
              <w:jc w:val="center"/>
            </w:pPr>
            <w:r>
              <w:t xml:space="preserve">4.0</w:t>
            </w:r>
          </w:p>
        </w:tc>
        <w:tc>
          <w:p>
            <w:pPr>
              <w:pStyle w:val="Compact"/>
              <w:jc w:val="center"/>
            </w:pPr>
            <w:r>
              <w:t xml:space="preserve">3.1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II</w:t>
            </w:r>
          </w:p>
        </w:tc>
        <w:tc>
          <w:p>
            <w:pPr>
              <w:pStyle w:val="Compact"/>
              <w:jc w:val="center"/>
            </w:pPr>
            <w:r>
              <w:t xml:space="preserve">12.0</w:t>
            </w:r>
          </w:p>
        </w:tc>
        <w:tc>
          <w:p>
            <w:pPr>
              <w:pStyle w:val="Compact"/>
              <w:jc w:val="center"/>
            </w:pPr>
            <w:r>
              <w:t xml:space="preserve">9.13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II</w:t>
            </w:r>
          </w:p>
        </w:tc>
        <w:tc>
          <w:p>
            <w:pPr>
              <w:pStyle w:val="Compact"/>
              <w:jc w:val="center"/>
            </w:pPr>
            <w:r>
              <w:t xml:space="preserve">7.0</w:t>
            </w:r>
          </w:p>
        </w:tc>
        <w:tc>
          <w:p>
            <w:pPr>
              <w:pStyle w:val="Compact"/>
              <w:jc w:val="center"/>
            </w:pPr>
            <w:r>
              <w:t xml:space="preserve">7.26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II</w:t>
            </w:r>
          </w:p>
        </w:tc>
        <w:tc>
          <w:p>
            <w:pPr>
              <w:pStyle w:val="Compact"/>
              <w:jc w:val="center"/>
            </w:pPr>
            <w:r>
              <w:t xml:space="preserve">5.0</w:t>
            </w:r>
          </w:p>
        </w:tc>
        <w:tc>
          <w:p>
            <w:pPr>
              <w:pStyle w:val="Compact"/>
              <w:jc w:val="center"/>
            </w:pPr>
            <w:r>
              <w:t xml:space="preserve">4.74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III</w:t>
            </w:r>
          </w:p>
        </w:tc>
        <w:tc>
          <w:p>
            <w:pPr>
              <w:pStyle w:val="Compact"/>
              <w:jc w:val="center"/>
            </w:pPr>
            <w:r>
              <w:t xml:space="preserve">10.0</w:t>
            </w:r>
          </w:p>
        </w:tc>
        <w:tc>
          <w:p>
            <w:pPr>
              <w:pStyle w:val="Compact"/>
              <w:jc w:val="center"/>
            </w:pPr>
            <w:r>
              <w:t xml:space="preserve">7.46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III</w:t>
            </w:r>
          </w:p>
        </w:tc>
        <w:tc>
          <w:p>
            <w:pPr>
              <w:pStyle w:val="Compact"/>
              <w:jc w:val="center"/>
            </w:pPr>
            <w:r>
              <w:t xml:space="preserve">8.0</w:t>
            </w:r>
          </w:p>
        </w:tc>
        <w:tc>
          <w:p>
            <w:pPr>
              <w:pStyle w:val="Compact"/>
              <w:jc w:val="center"/>
            </w:pPr>
            <w:r>
              <w:t xml:space="preserve">6.77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III</w:t>
            </w:r>
          </w:p>
        </w:tc>
        <w:tc>
          <w:p>
            <w:pPr>
              <w:pStyle w:val="Compact"/>
              <w:jc w:val="center"/>
            </w:pPr>
            <w:r>
              <w:t xml:space="preserve">13.0</w:t>
            </w:r>
          </w:p>
        </w:tc>
        <w:tc>
          <w:p>
            <w:pPr>
              <w:pStyle w:val="Compact"/>
              <w:jc w:val="center"/>
            </w:pPr>
            <w:r>
              <w:t xml:space="preserve">12.74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III</w:t>
            </w:r>
          </w:p>
        </w:tc>
        <w:tc>
          <w:p>
            <w:pPr>
              <w:pStyle w:val="Compact"/>
              <w:jc w:val="center"/>
            </w:pPr>
            <w:r>
              <w:t xml:space="preserve">9.0</w:t>
            </w:r>
          </w:p>
        </w:tc>
        <w:tc>
          <w:p>
            <w:pPr>
              <w:pStyle w:val="Compact"/>
              <w:jc w:val="center"/>
            </w:pPr>
            <w:r>
              <w:t xml:space="preserve">7.11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III</w:t>
            </w:r>
          </w:p>
        </w:tc>
        <w:tc>
          <w:p>
            <w:pPr>
              <w:pStyle w:val="Compact"/>
              <w:jc w:val="center"/>
            </w:pPr>
            <w:r>
              <w:t xml:space="preserve">11.0</w:t>
            </w:r>
          </w:p>
        </w:tc>
        <w:tc>
          <w:p>
            <w:pPr>
              <w:pStyle w:val="Compact"/>
              <w:jc w:val="center"/>
            </w:pPr>
            <w:r>
              <w:t xml:space="preserve">7.81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III</w:t>
            </w:r>
          </w:p>
        </w:tc>
        <w:tc>
          <w:p>
            <w:pPr>
              <w:pStyle w:val="Compact"/>
              <w:jc w:val="center"/>
            </w:pPr>
            <w:r>
              <w:t xml:space="preserve">14.0</w:t>
            </w:r>
          </w:p>
        </w:tc>
        <w:tc>
          <w:p>
            <w:pPr>
              <w:pStyle w:val="Compact"/>
              <w:jc w:val="center"/>
            </w:pPr>
            <w:r>
              <w:t xml:space="preserve">8.84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III</w:t>
            </w:r>
          </w:p>
        </w:tc>
        <w:tc>
          <w:p>
            <w:pPr>
              <w:pStyle w:val="Compact"/>
              <w:jc w:val="center"/>
            </w:pPr>
            <w:r>
              <w:t xml:space="preserve">6.0</w:t>
            </w:r>
          </w:p>
        </w:tc>
        <w:tc>
          <w:p>
            <w:pPr>
              <w:pStyle w:val="Compact"/>
              <w:jc w:val="center"/>
            </w:pPr>
            <w:r>
              <w:t xml:space="preserve">6.08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III</w:t>
            </w:r>
          </w:p>
        </w:tc>
        <w:tc>
          <w:p>
            <w:pPr>
              <w:pStyle w:val="Compact"/>
              <w:jc w:val="center"/>
            </w:pPr>
            <w:r>
              <w:t xml:space="preserve">4.0</w:t>
            </w:r>
          </w:p>
        </w:tc>
        <w:tc>
          <w:p>
            <w:pPr>
              <w:pStyle w:val="Compact"/>
              <w:jc w:val="center"/>
            </w:pPr>
            <w:r>
              <w:t xml:space="preserve">5.39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III</w:t>
            </w:r>
          </w:p>
        </w:tc>
        <w:tc>
          <w:p>
            <w:pPr>
              <w:pStyle w:val="Compact"/>
              <w:jc w:val="center"/>
            </w:pPr>
            <w:r>
              <w:t xml:space="preserve">12.0</w:t>
            </w:r>
          </w:p>
        </w:tc>
        <w:tc>
          <w:p>
            <w:pPr>
              <w:pStyle w:val="Compact"/>
              <w:jc w:val="center"/>
            </w:pPr>
            <w:r>
              <w:t xml:space="preserve">8.15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III</w:t>
            </w:r>
          </w:p>
        </w:tc>
        <w:tc>
          <w:p>
            <w:pPr>
              <w:pStyle w:val="Compact"/>
              <w:jc w:val="center"/>
            </w:pPr>
            <w:r>
              <w:t xml:space="preserve">7.0</w:t>
            </w:r>
          </w:p>
        </w:tc>
        <w:tc>
          <w:p>
            <w:pPr>
              <w:pStyle w:val="Compact"/>
              <w:jc w:val="center"/>
            </w:pPr>
            <w:r>
              <w:t xml:space="preserve">6.42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III</w:t>
            </w:r>
          </w:p>
        </w:tc>
        <w:tc>
          <w:p>
            <w:pPr>
              <w:pStyle w:val="Compact"/>
              <w:jc w:val="center"/>
            </w:pPr>
            <w:r>
              <w:t xml:space="preserve">5.0</w:t>
            </w:r>
          </w:p>
        </w:tc>
        <w:tc>
          <w:p>
            <w:pPr>
              <w:pStyle w:val="Compact"/>
              <w:jc w:val="center"/>
            </w:pPr>
            <w:r>
              <w:t xml:space="preserve">5.73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IV</w:t>
            </w:r>
          </w:p>
        </w:tc>
        <w:tc>
          <w:p>
            <w:pPr>
              <w:pStyle w:val="Compact"/>
              <w:jc w:val="center"/>
            </w:pPr>
            <w:r>
              <w:t xml:space="preserve">8.0</w:t>
            </w:r>
          </w:p>
        </w:tc>
        <w:tc>
          <w:p>
            <w:pPr>
              <w:pStyle w:val="Compact"/>
              <w:jc w:val="center"/>
            </w:pPr>
            <w:r>
              <w:t xml:space="preserve">6.58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IV</w:t>
            </w:r>
          </w:p>
        </w:tc>
        <w:tc>
          <w:p>
            <w:pPr>
              <w:pStyle w:val="Compact"/>
              <w:jc w:val="center"/>
            </w:pPr>
            <w:r>
              <w:t xml:space="preserve">8.0</w:t>
            </w:r>
          </w:p>
        </w:tc>
        <w:tc>
          <w:p>
            <w:pPr>
              <w:pStyle w:val="Compact"/>
              <w:jc w:val="center"/>
            </w:pPr>
            <w:r>
              <w:t xml:space="preserve">5.76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IV</w:t>
            </w:r>
          </w:p>
        </w:tc>
        <w:tc>
          <w:p>
            <w:pPr>
              <w:pStyle w:val="Compact"/>
              <w:jc w:val="center"/>
            </w:pPr>
            <w:r>
              <w:t xml:space="preserve">8.0</w:t>
            </w:r>
          </w:p>
        </w:tc>
        <w:tc>
          <w:p>
            <w:pPr>
              <w:pStyle w:val="Compact"/>
              <w:jc w:val="center"/>
            </w:pPr>
            <w:r>
              <w:t xml:space="preserve">7.71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IV</w:t>
            </w:r>
          </w:p>
        </w:tc>
        <w:tc>
          <w:p>
            <w:pPr>
              <w:pStyle w:val="Compact"/>
              <w:jc w:val="center"/>
            </w:pPr>
            <w:r>
              <w:t xml:space="preserve">8.0</w:t>
            </w:r>
          </w:p>
        </w:tc>
        <w:tc>
          <w:p>
            <w:pPr>
              <w:pStyle w:val="Compact"/>
              <w:jc w:val="center"/>
            </w:pPr>
            <w:r>
              <w:t xml:space="preserve">8.84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IV</w:t>
            </w:r>
          </w:p>
        </w:tc>
        <w:tc>
          <w:p>
            <w:pPr>
              <w:pStyle w:val="Compact"/>
              <w:jc w:val="center"/>
            </w:pPr>
            <w:r>
              <w:t xml:space="preserve">8.0</w:t>
            </w:r>
          </w:p>
        </w:tc>
        <w:tc>
          <w:p>
            <w:pPr>
              <w:pStyle w:val="Compact"/>
              <w:jc w:val="center"/>
            </w:pPr>
            <w:r>
              <w:t xml:space="preserve">8.47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IV</w:t>
            </w:r>
          </w:p>
        </w:tc>
        <w:tc>
          <w:p>
            <w:pPr>
              <w:pStyle w:val="Compact"/>
              <w:jc w:val="center"/>
            </w:pPr>
            <w:r>
              <w:t xml:space="preserve">8.0</w:t>
            </w:r>
          </w:p>
        </w:tc>
        <w:tc>
          <w:p>
            <w:pPr>
              <w:pStyle w:val="Compact"/>
              <w:jc w:val="center"/>
            </w:pPr>
            <w:r>
              <w:t xml:space="preserve">7.04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IV</w:t>
            </w:r>
          </w:p>
        </w:tc>
        <w:tc>
          <w:p>
            <w:pPr>
              <w:pStyle w:val="Compact"/>
              <w:jc w:val="center"/>
            </w:pPr>
            <w:r>
              <w:t xml:space="preserve">8.0</w:t>
            </w:r>
          </w:p>
        </w:tc>
        <w:tc>
          <w:p>
            <w:pPr>
              <w:pStyle w:val="Compact"/>
              <w:jc w:val="center"/>
            </w:pPr>
            <w:r>
              <w:t xml:space="preserve">5.25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IV</w:t>
            </w:r>
          </w:p>
        </w:tc>
        <w:tc>
          <w:p>
            <w:pPr>
              <w:pStyle w:val="Compact"/>
              <w:jc w:val="center"/>
            </w:pPr>
            <w:r>
              <w:t xml:space="preserve">19.0</w:t>
            </w:r>
          </w:p>
        </w:tc>
        <w:tc>
          <w:p>
            <w:pPr>
              <w:pStyle w:val="Compact"/>
              <w:jc w:val="center"/>
            </w:pPr>
            <w:r>
              <w:t xml:space="preserve">12.5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IV</w:t>
            </w:r>
          </w:p>
        </w:tc>
        <w:tc>
          <w:p>
            <w:pPr>
              <w:pStyle w:val="Compact"/>
              <w:jc w:val="center"/>
            </w:pPr>
            <w:r>
              <w:t xml:space="preserve">8.0</w:t>
            </w:r>
          </w:p>
        </w:tc>
        <w:tc>
          <w:p>
            <w:pPr>
              <w:pStyle w:val="Compact"/>
              <w:jc w:val="center"/>
            </w:pPr>
            <w:r>
              <w:t xml:space="preserve">5.56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IV</w:t>
            </w:r>
          </w:p>
        </w:tc>
        <w:tc>
          <w:p>
            <w:pPr>
              <w:pStyle w:val="Compact"/>
              <w:jc w:val="center"/>
            </w:pPr>
            <w:r>
              <w:t xml:space="preserve">8.0</w:t>
            </w:r>
          </w:p>
        </w:tc>
        <w:tc>
          <w:p>
            <w:pPr>
              <w:pStyle w:val="Compact"/>
              <w:jc w:val="center"/>
            </w:pPr>
            <w:r>
              <w:t xml:space="preserve">7.91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IV</w:t>
            </w:r>
          </w:p>
        </w:tc>
        <w:tc>
          <w:p>
            <w:pPr>
              <w:pStyle w:val="Compact"/>
              <w:jc w:val="center"/>
            </w:pPr>
            <w:r>
              <w:t xml:space="preserve">8.0</w:t>
            </w:r>
          </w:p>
        </w:tc>
        <w:tc>
          <w:p>
            <w:pPr>
              <w:pStyle w:val="Compact"/>
              <w:jc w:val="center"/>
            </w:pPr>
            <w:r>
              <w:t xml:space="preserve">6.89</w:t>
            </w:r>
          </w:p>
        </w:tc>
      </w:tr>
    </w:tbl>
    <w:p>
      <w:pPr>
        <w:pStyle w:val="FigureWithCaption"/>
      </w:pPr>
      <w:r>
        <w:drawing>
          <wp:inline>
            <wp:extent cx="556800" cy="1051200"/>
            <wp:effectExtent b="0" l="0" r="0" t="0"/>
            <wp:docPr descr="Caption - Tdfyhtyut6 " title="" id="1" name="Picture"/>
            <a:graphic>
              <a:graphicData uri="http://schemas.openxmlformats.org/drawingml/2006/picture">
                <pic:pic>
                  <pic:nvPicPr>
                    <pic:cNvPr descr="figures/don-quixote/don-quixot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00" cy="10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Caption - Tdfyhtyut6</w:t>
      </w:r>
      <w:r>
        <w:t xml:space="preserve"> </w:t>
      </w:r>
    </w:p>
    <w:p>
      <w:pPr>
        <w:pStyle w:val="BodyText"/>
      </w:pPr>
      <w:r>
        <w:t xml:space="preserve">hfgjhythfgd</w:t>
      </w:r>
      <w:r>
        <w:t xml:space="preserve"> </w:t>
      </w:r>
      <w:r>
        <w:t xml:space="preserve">yhtyrdrtye</w:t>
      </w:r>
      <w:r>
        <w:t xml:space="preserve"> </w:t>
      </w:r>
      <w:r>
        <w:t xml:space="preserve">trytretre</w:t>
      </w:r>
    </w:p>
    <w:p>
      <w:pPr>
        <w:pStyle w:val="Heading1"/>
      </w:pPr>
      <w:bookmarkStart w:id="27" w:name="trjh"/>
      <w:bookmarkEnd w:id="27"/>
      <w:r>
        <w:t xml:space="preserve">TRJH</w:t>
      </w:r>
    </w:p>
    <w:p>
      <w:pPr>
        <w:pStyle w:val="Heading2"/>
      </w:pPr>
      <w:bookmarkStart w:id="28" w:name="fhgfh"/>
      <w:bookmarkEnd w:id="28"/>
      <w:r>
        <w:t xml:space="preserve">fhgfh</w:t>
      </w:r>
    </w:p>
    <w:p>
      <w:pPr>
        <w:pStyle w:val="FirstParagraph"/>
      </w:pPr>
      <w:r>
        <w:t xml:space="preserve">QWERTY</w:t>
      </w:r>
      <w:r>
        <w:rPr>
          <w:vertAlign w:val="superscript"/>
        </w:rPr>
        <w:t xml:space="preserve">ryhty</w:t>
      </w:r>
    </w:p>
    <w:p>
      <w:pPr>
        <w:pStyle w:val="BodyText"/>
      </w:pPr>
      <w:r>
        <w:br w:type="textWrapping"/>
      </w:r>
      <w:r>
        <w:t xml:space="preserve">(Schendel, Dronkers, and Turken 2016)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3131590" cy="4110212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Johann-Sebastian-Bach-1746/Johann-Sebastian-Bach-17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90" cy="41102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  <w:r>
        <w:br w:type="textWrapping"/>
      </w:r>
    </w:p>
    <w:p>
      <w:pPr>
        <w:numPr>
          <w:numId w:val="1002"/>
          <w:ilvl w:val="0"/>
        </w:numPr>
      </w:pPr>
      <w:r>
        <w:t xml:space="preserve">rt</w:t>
      </w:r>
    </w:p>
    <w:p>
      <w:pPr>
        <w:numPr>
          <w:numId w:val="1002"/>
          <w:ilvl w:val="0"/>
        </w:numPr>
      </w:pPr>
      <w:r>
        <w:t xml:space="preserve">ertre</w:t>
      </w:r>
    </w:p>
    <w:p>
      <w:pPr>
        <w:numPr>
          <w:numId w:val="1002"/>
          <w:ilvl w:val="0"/>
        </w:numPr>
      </w:pPr>
      <w:r>
        <w:t xml:space="preserve">ertyret</w:t>
      </w:r>
    </w:p>
    <w:p>
      <w:pPr>
        <w:numPr>
          <w:numId w:val="1002"/>
          <w:ilvl w:val="0"/>
        </w:numPr>
      </w:pPr>
      <w:r>
        <w:t xml:space="preserve">yrt</w:t>
      </w:r>
    </w:p>
    <w:p>
      <w:pPr>
        <w:pStyle w:val="FirstParagraph"/>
      </w:pPr>
      <w:r>
        <w:br w:type="textWrapping"/>
      </w:r>
    </w:p>
    <w:p>
      <w:pPr>
        <w:numPr>
          <w:numId w:val="1003"/>
          <w:ilvl w:val="0"/>
        </w:numPr>
      </w:pPr>
      <w:r>
        <w:t xml:space="preserve">rytr</w:t>
      </w:r>
    </w:p>
    <w:p>
      <w:pPr>
        <w:numPr>
          <w:numId w:val="1003"/>
          <w:ilvl w:val="0"/>
        </w:numPr>
      </w:pPr>
      <w:r>
        <w:t xml:space="preserve">tryrt</w:t>
      </w:r>
    </w:p>
    <w:p>
      <w:pPr>
        <w:numPr>
          <w:numId w:val="1003"/>
          <w:ilvl w:val="0"/>
        </w:numPr>
      </w:pPr>
      <w:r>
        <w:t xml:space="preserve">tyrt</w:t>
      </w:r>
    </w:p>
    <w:p>
      <w:pPr>
        <w:pStyle w:val="BlockText"/>
      </w:pPr>
      <w:r>
        <w:t xml:space="preserve">wery6err67it8ito9898i</w:t>
      </w:r>
    </w:p>
    <w:p>
      <w:pPr>
        <w:pStyle w:val="BlockText"/>
        <w:pStyle w:val="BlockText"/>
      </w:pPr>
      <w:r>
        <w:t xml:space="preserve">etgrtduytr</w:t>
      </w:r>
    </w:p>
    <w:p>
      <w:pPr>
        <w:pStyle w:val="BlockText"/>
        <w:pStyle w:val="BlockText"/>
      </w:pPr>
      <w:r>
        <w:t xml:space="preserve">dtryuyt</w:t>
      </w:r>
    </w:p>
    <w:p>
      <w:pPr>
        <w:pStyle w:val="BlockText"/>
        <w:pStyle w:val="BlockText"/>
        <w:pStyle w:val="BlockText"/>
      </w:pPr>
      <w:r>
        <w:t xml:space="preserve">ryty</w:t>
      </w:r>
    </w:p>
    <w:p>
      <w:pPr>
        <w:pStyle w:val="FirstParagraph"/>
      </w:pPr>
      <w:r>
        <w:t xml:space="preserve">(Ivanova et al. 2018; Baldo et al. 2018)</w:t>
      </w:r>
    </w:p>
    <w:p>
      <w:pPr>
        <w:pStyle w:val="BodyText"/>
      </w:pPr>
      <w:r>
        <w:t xml:space="preserve">kjlk</w:t>
      </w:r>
    </w:p>
    <w:p>
      <w:pPr>
        <w:pStyle w:val="Heading3"/>
      </w:pPr>
      <w:bookmarkStart w:id="30" w:name="section"/>
      <w:bookmarkEnd w:id="30"/>
    </w:p>
    <w:p>
      <w:pPr>
        <w:pStyle w:val="Heading3"/>
      </w:pPr>
      <w:bookmarkStart w:id="31" w:name="fdgdf"/>
      <w:bookmarkEnd w:id="31"/>
      <w:r>
        <w:t xml:space="preserve">fdgdf</w:t>
      </w:r>
    </w:p>
    <w:p>
      <w:pPr>
        <w:pStyle w:val="FirstParagraph"/>
      </w:pPr>
      <w:r>
        <w:br w:type="textWrapping"/>
      </w:r>
      <w:r>
        <w:t xml:space="preserve">END</w:t>
      </w:r>
    </w:p>
    <w:p>
      <w:pPr>
        <w:pStyle w:val="BodyText"/>
      </w:pPr>
      <w:r>
        <w:br w:type="textWrapping"/>
      </w:r>
      <w:r>
        <w:br w:type="textWrapping"/>
      </w:r>
      <w:hyperlink r:id="rId32">
        <w:r>
          <w:rPr>
            <w:rStyle w:val="Hyperlink"/>
          </w:rPr>
          <w:t xml:space="preserve">m</w:t>
        </w:r>
      </w:hyperlink>
    </w:p>
    <w:p>
      <w:pPr>
        <w:pStyle w:val="BodyText"/>
      </w:pPr>
      <w:r>
        <w:br w:type="textWrapping"/>
      </w:r>
      <w:r>
        <w:t xml:space="preserve">Figure </w:t>
      </w:r>
      <w:r>
        <w:t xml:space="preserve">???</w:t>
      </w:r>
      <w:r>
        <w:t xml:space="preserve">  </w:t>
      </w:r>
      <w:r>
        <w:t xml:space="preserve">???</w:t>
      </w:r>
      <w:r>
        <w:t xml:space="preserve"> </w:t>
      </w:r>
    </w:p>
    <w:p>
      <w:pPr>
        <w:pStyle w:val="BodyText"/>
      </w:pPr>
      <w:r>
        <w:br w:type="textWrapping"/>
      </w:r>
      <w:r>
        <w:t xml:space="preserve">See </w:t>
      </w:r>
      <w:r>
        <w:t xml:space="preserve">???</w:t>
      </w:r>
      <w:r>
        <w:t xml:space="preserve">???</w:t>
      </w:r>
    </w:p>
    <w:p>
      <w:pPr>
        <w:pStyle w:val="BodyText"/>
      </w:pPr>
      <w:r>
        <w:br w:type="textWrapping"/>
      </w:r>
      <m:oMath>
        <m:r>
          <m:t>e</m:t>
        </m:r>
        <m:r>
          <m:t> </m:t>
        </m:r>
        <m:r>
          <m:t>=</m:t>
        </m:r>
        <m:r>
          <m:t> </m:t>
        </m:r>
        <m:r>
          <m:t>m</m:t>
        </m:r>
        <m:sSup>
          <m:e>
            <m:r>
              <m:t>c</m:t>
            </m:r>
          </m:e>
          <m:sup>
            <m:r>
              <m:t>2</m:t>
            </m:r>
          </m:sup>
        </m:sSup>
      </m:oMath>
    </w:p>
    <w:p>
      <w:pPr>
        <w:pStyle w:val="BodyText"/>
      </w:pPr>
      <w:r>
        <w:br w:type="textWrapping"/>
      </w:r>
    </w:p>
    <w:p>
      <w:pPr>
        <w:pStyle w:val="BlockText"/>
      </w:pPr>
      <w:r>
        <w:t xml:space="preserve">XYZ</w:t>
      </w:r>
    </w:p>
    <w:p>
      <w:pPr>
        <w:pStyle w:val="FirstParagraph"/>
      </w:pPr>
      <w:r>
        <w:br w:type="textWrapping"/>
      </w:r>
    </w:p>
    <w:p>
      <w:pPr>
        <w:pStyle w:val="BlockText"/>
      </w:pPr>
      <w:r>
        <w:t xml:space="preserve">1</w:t>
      </w:r>
    </w:p>
    <w:p>
      <w:pPr>
        <w:pStyle w:val="Heading1"/>
      </w:pPr>
      <w:bookmarkStart w:id="33" w:name="references"/>
      <w:bookmarkEnd w:id="33"/>
      <w:r>
        <w:t xml:space="preserve">References</w:t>
      </w:r>
    </w:p>
    <w:p>
      <w:pPr>
        <w:pStyle w:val="FirstParagraph"/>
      </w:pPr>
      <w:r>
        <w:t xml:space="preserve">Swick, D, N Honzel, and U Turken. 2015.</w:t>
      </w:r>
      <w:r>
        <w:t xml:space="preserve"> </w:t>
      </w:r>
      <w:r>
        <w:t xml:space="preserve">“</w:t>
      </w:r>
      <w:r>
        <w:t xml:space="preserve">Intact Error Monitoring in Combat Veterans with Post-Traumatic Stress Disorder.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Psychiatry Res</w:t>
      </w:r>
      <w:r>
        <w:t xml:space="preserve"> </w:t>
      </w:r>
      <w:r>
        <w:t xml:space="preserve">234: 227–38.</w:t>
      </w:r>
    </w:p>
    <w:p>
      <w:pPr>
        <w:pStyle w:val="BodyText"/>
      </w:pPr>
      <w:r>
        <w:t xml:space="preserve">Kang, X, TJ Herron, AU Turken, and DL Woods. 2012.</w:t>
      </w:r>
      <w:r>
        <w:t xml:space="preserve"> </w:t>
      </w:r>
      <w:r>
        <w:t xml:space="preserve">“</w:t>
      </w:r>
      <w:r>
        <w:t xml:space="preserve">Diffusion Properties of Cortical and Pericortical Tissue: Regional Variations, Reliability and Methodological Issues.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Magn Reson Imaging</w:t>
      </w:r>
      <w:r>
        <w:t xml:space="preserve"> </w:t>
      </w:r>
      <w:r>
        <w:t xml:space="preserve">30: 1111–22.</w:t>
      </w:r>
    </w:p>
    <w:p>
      <w:pPr>
        <w:pStyle w:val="BodyText"/>
      </w:pPr>
      <w:r>
        <w:t xml:space="preserve">Swick, D, J Cayton, V Ashley, and AU Turken. 2017.</w:t>
      </w:r>
      <w:r>
        <w:t xml:space="preserve"> </w:t>
      </w:r>
      <w:r>
        <w:t xml:space="preserve">“</w:t>
      </w:r>
      <w:r>
        <w:t xml:space="preserve">Dissociation between Working Memory Performance and Proactive Interference Control in Post-Traumatic Stress Disorder.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Neuropsychologia</w:t>
      </w:r>
      <w:r>
        <w:t xml:space="preserve"> </w:t>
      </w:r>
      <w:r>
        <w:t xml:space="preserve">96: 111–21.</w:t>
      </w:r>
    </w:p>
    <w:p>
      <w:pPr>
        <w:pStyle w:val="BodyText"/>
      </w:pPr>
      <w:r>
        <w:t xml:space="preserve">Schendel, K, NF Dronkers, and AU Turken. 2016.</w:t>
      </w:r>
      <w:r>
        <w:t xml:space="preserve"> </w:t>
      </w:r>
      <w:r>
        <w:t xml:space="preserve">“</w:t>
      </w:r>
      <w:r>
        <w:t xml:space="preserve">Not Just Language: Persisting Lateralized Visuospatial Impairment after Left Hemisphere Stroke.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 Int Neuropsychol Soc</w:t>
      </w:r>
      <w:r>
        <w:t xml:space="preserve"> </w:t>
      </w:r>
      <w:r>
        <w:t xml:space="preserve">22: 695–704.</w:t>
      </w:r>
    </w:p>
    <w:p>
      <w:pPr>
        <w:pStyle w:val="BodyText"/>
      </w:pPr>
      <w:r>
        <w:t xml:space="preserve">Ivanova, MV, O Dragoy, SV Kuptsova, Akinina S Yu, AG Petrushevskii, ON Fedina, A Turken, VM Shklovsky, and NF Dronkers. 2018.</w:t>
      </w:r>
      <w:r>
        <w:t xml:space="preserve"> </w:t>
      </w:r>
      <w:r>
        <w:t xml:space="preserve">“</w:t>
      </w:r>
      <w:r>
        <w:t xml:space="preserve">Neural Mechanisms of Two Different Verbal Working Memory Tasks: A VLSM Study.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Neuropsychologia</w:t>
      </w:r>
      <w:r>
        <w:t xml:space="preserve">.</w:t>
      </w:r>
    </w:p>
    <w:p>
      <w:pPr>
        <w:pStyle w:val="BodyText"/>
      </w:pPr>
      <w:r>
        <w:t xml:space="preserve">Baldo, JV, N Kacinik, C Ludy, S Paulraj, A Moncrief, V Piai, B Curran, A Turken, T Herron, and NF Dronkers. 2018.</w:t>
      </w:r>
      <w:r>
        <w:t xml:space="preserve"> </w:t>
      </w:r>
      <w:r>
        <w:t xml:space="preserve">“</w:t>
      </w:r>
      <w:r>
        <w:t xml:space="preserve">Voxel-Based Lesion Analysis of Brain Regions Underlying Reading and Writing.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Neuropsychologia</w:t>
      </w:r>
      <w:r>
        <w:t xml:space="preserve">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bbd69ead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201">
    <w:nsid w:val="e9fdcf6d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eed53d28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03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9" Target="media/rId29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hyperlink" Id="rId32" Target="http://google.com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32" Target="http://google.co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TXY dgdf</dc:title>
  <dc:creator>And Turken Affiliation not available</dc:creator>
  <dcterms:created xsi:type="dcterms:W3CDTF">2018-04-06T01:29:45Z</dcterms:created>
  <dcterms:modified xsi:type="dcterms:W3CDTF">2018-04-06T01:29:45Z</dcterms:modified>
</cp:coreProperties>
</file>