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8.png" ContentType="image/png"/>
  <Override PartName="/word/media/rId33.png" ContentType="image/png"/>
  <Override PartName="/word/media/rId26.png" ContentType="image/png"/>
  <Override PartName="/word/media/rId27.png" ContentType="image/png"/>
  <Override PartName="/word/media/rId31.png" ContentType="image/png"/>
  <Override PartName="/word/media/rId24.png" ContentType="image/png"/>
  <Override PartName="/word/media/rId3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Report</w:t>
      </w:r>
      <w:r>
        <w:t xml:space="preserve"> </w:t>
      </w:r>
      <w:r>
        <w:t xml:space="preserve">ETP</w:t>
      </w:r>
      <w:r>
        <w:t xml:space="preserve"> </w:t>
      </w:r>
      <w:r>
        <w:t xml:space="preserve">-</w:t>
      </w:r>
      <w:r>
        <w:t xml:space="preserve"> </w:t>
      </w:r>
      <w:r>
        <w:t xml:space="preserve">Unstable</w:t>
      </w:r>
      <w:r>
        <w:t xml:space="preserve"> </w:t>
      </w:r>
      <w:r>
        <w:t xml:space="preserve">2D</w:t>
      </w:r>
      <w:r>
        <w:t xml:space="preserve"> </w:t>
      </w:r>
      <w:r>
        <w:t xml:space="preserve">plume</w:t>
      </w:r>
      <w:r>
        <w:t xml:space="preserve"> </w:t>
      </w:r>
      <w:r>
        <w:t xml:space="preserve">using</w:t>
      </w:r>
      <w:r>
        <w:t xml:space="preserve"> </w:t>
      </w:r>
      <w:r>
        <w:t xml:space="preserve">Fluent</w:t>
      </w:r>
    </w:p>
    <w:p>
      <w:pPr>
        <w:pStyle w:val="Author"/>
      </w:pPr>
      <w:r>
        <w:t xml:space="preserve">Rafael</w:t>
      </w:r>
      <w:r>
        <w:t xml:space="preserve"> </w:t>
      </w:r>
      <w:r>
        <w:t xml:space="preserve">Graf</w:t>
      </w:r>
    </w:p>
    <w:p>
      <w:pPr>
        <w:pStyle w:val="Author"/>
      </w:pPr>
      <w:r>
        <w:t xml:space="preserve">Andrea</w:t>
      </w:r>
      <w:r>
        <w:t xml:space="preserve"> </w:t>
      </w:r>
      <w:r>
        <w:t xml:space="preserve">Caldirola</w:t>
      </w:r>
    </w:p>
    <w:p>
      <w:pPr>
        <w:pStyle w:val="Heading1"/>
      </w:pPr>
      <w:bookmarkStart w:id="21" w:name="abstract"/>
      <w:bookmarkEnd w:id="21"/>
      <w:r>
        <w:t xml:space="preserve">Abstract</w:t>
      </w:r>
    </w:p>
    <w:p>
      <w:pPr>
        <w:pStyle w:val="FirstParagraph"/>
      </w:pPr>
      <w:r>
        <w:t xml:space="preserve">The aim of this report is to assess if an </w:t>
      </w:r>
      <w:r>
        <w:rPr>
          <w:i/>
        </w:rPr>
        <w:t xml:space="preserve">unstable thermal</w:t>
      </w:r>
      <w:r>
        <w:rPr>
          <w:i/>
        </w:rPr>
        <w:t xml:space="preserve"> </w:t>
      </w:r>
      <w:r>
        <w:rPr>
          <w:i/>
        </w:rPr>
        <w:t xml:space="preserve">boundary layer</w:t>
      </w:r>
      <w:r>
        <w:t xml:space="preserve"> </w:t>
      </w:r>
      <w:r>
        <w:t xml:space="preserve">affects the</w:t>
      </w:r>
      <w:r>
        <w:t xml:space="preserve"> </w:t>
      </w:r>
      <w:r>
        <w:rPr>
          <w:i/>
        </w:rPr>
        <w:t xml:space="preserve">concentration distribution</w:t>
      </w:r>
      <w:r>
        <w:t xml:space="preserve"> </w:t>
      </w:r>
      <w:r>
        <w:t xml:space="preserve">of an</w:t>
      </w:r>
      <w:r>
        <w:t xml:space="preserve"> </w:t>
      </w:r>
      <w:r>
        <w:t xml:space="preserve">industrial plume. A 2D simulation was performed using the</w:t>
      </w:r>
      <w:r>
        <w:t xml:space="preserve"> </w:t>
      </w:r>
      <w:r>
        <w:t xml:space="preserve">Software </w:t>
      </w:r>
      <w:r>
        <w:rPr>
          <w:i/>
        </w:rPr>
        <w:t xml:space="preserve">Fluent</w:t>
      </w:r>
      <w:r>
        <w:t xml:space="preserve">, where a stack rejected CO2 in the atmosphere.</w:t>
      </w:r>
    </w:p>
    <w:p>
      <w:pPr>
        <w:pStyle w:val="BodyText"/>
      </w:pPr>
      <w:r>
        <w:t xml:space="preserve">The concentration difference between the stable and unstable thermal</w:t>
      </w:r>
      <w:r>
        <w:t xml:space="preserve"> </w:t>
      </w:r>
      <w:r>
        <w:t xml:space="preserve">boundary layer simulation was practically indistinguishable. Thus,</w:t>
      </w:r>
      <w:r>
        <w:t xml:space="preserve"> </w:t>
      </w:r>
      <w:r>
        <w:t xml:space="preserve">the</w:t>
      </w:r>
      <w:r>
        <w:rPr>
          <w:i/>
        </w:rPr>
        <w:t xml:space="preserve"> </w:t>
      </w:r>
      <w:r>
        <w:t xml:space="preserve">model simplifications, especially the reduction to a two</w:t>
      </w:r>
      <w:r>
        <w:t xml:space="preserve"> </w:t>
      </w:r>
      <w:r>
        <w:t xml:space="preserve">dimensional model, are discussed for the validity of the simulations as</w:t>
      </w:r>
      <w:r>
        <w:t xml:space="preserve"> </w:t>
      </w:r>
      <w:r>
        <w:t xml:space="preserve">well as the ground boundary conditions. </w:t>
      </w:r>
    </w:p>
    <w:p>
      <w:pPr>
        <w:pStyle w:val="Heading1"/>
      </w:pPr>
      <w:bookmarkStart w:id="22" w:name="introduction"/>
      <w:bookmarkEnd w:id="22"/>
      <w:r>
        <w:t xml:space="preserve">Introduction</w:t>
      </w:r>
    </w:p>
    <w:p>
      <w:pPr>
        <w:pStyle w:val="FirstParagraph"/>
      </w:pPr>
      <w:r>
        <w:t xml:space="preserve">Air pollutants distributions are a big problem all over the world and</w:t>
      </w:r>
      <w:r>
        <w:t xml:space="preserve"> </w:t>
      </w:r>
      <w:r>
        <w:t xml:space="preserve">they are strongly driven by the air temperature gradient.  Since the</w:t>
      </w:r>
      <w:r>
        <w:t xml:space="preserve"> </w:t>
      </w:r>
      <w:r>
        <w:t xml:space="preserve">concentration of pollutants at ground level interact directly with</w:t>
      </w:r>
      <w:r>
        <w:t xml:space="preserve"> </w:t>
      </w:r>
      <w:r>
        <w:t xml:space="preserve">people, it is a key factor to monitor. </w:t>
      </w:r>
    </w:p>
    <w:p>
      <w:pPr>
        <w:pStyle w:val="BodyText"/>
      </w:pPr>
      <w:r>
        <w:t xml:space="preserve">In this case study, the effect of air temperature lapse rate on a plume</w:t>
      </w:r>
      <w:r>
        <w:t xml:space="preserve"> </w:t>
      </w:r>
      <w:r>
        <w:t xml:space="preserve">of carbon dioxide (one of the most common pollutants) coming out from a</w:t>
      </w:r>
      <w:r>
        <w:t xml:space="preserve"> </w:t>
      </w:r>
      <w:r>
        <w:t xml:space="preserve">stack is evaluated.</w:t>
      </w:r>
    </w:p>
    <w:p>
      <w:pPr>
        <w:pStyle w:val="BodyText"/>
      </w:pPr>
      <w:r>
        <w:t xml:space="preserve">The temperature of air is characterized by a vertical temperature</w:t>
      </w:r>
      <w:r>
        <w:t xml:space="preserve"> </w:t>
      </w:r>
      <w:r>
        <w:t xml:space="preserve">gradient, this is affecting the atmospheric air stability and thus the</w:t>
      </w:r>
      <w:r>
        <w:t xml:space="preserve"> </w:t>
      </w:r>
      <w:r>
        <w:t xml:space="preserve">pollutant distribution throught the APBL (Atmospheric Planetary Boundary</w:t>
      </w:r>
      <w:r>
        <w:t xml:space="preserve"> </w:t>
      </w:r>
      <w:r>
        <w:t xml:space="preserve">Layer). </w:t>
      </w:r>
    </w:p>
    <w:p>
      <w:pPr>
        <w:pStyle w:val="BodyText"/>
      </w:pPr>
      <w:r>
        <w:t xml:space="preserve">For a neutral APBL, the mixing is mainly driven by the turbulences of</w:t>
      </w:r>
      <w:r>
        <w:t xml:space="preserve"> </w:t>
      </w:r>
      <w:r>
        <w:t xml:space="preserve">the Inertial Sub-Layer (ISL) wind, whose height spans between 10-20% of</w:t>
      </w:r>
      <w:r>
        <w:t xml:space="preserve"> </w:t>
      </w:r>
      <w:r>
        <w:t xml:space="preserve">the APBL. Here the vertical wind speed profile can be described by</w:t>
      </w:r>
      <w:r>
        <w:t xml:space="preserve"> </w:t>
      </w:r>
      <w:r>
        <w:t xml:space="preserve">log-velocity profile  (Jirka 2005) :</w:t>
      </w:r>
    </w:p>
    <w:p>
      <w:pPr>
        <w:pStyle w:val="BodyText"/>
      </w:pPr>
      <m:oMathPara>
        <m:oMathParaPr>
          <m:jc m:val="center"/>
        </m:oMathParaPr>
        <m:oMath>
          <m:r>
            <m:t>U</m:t>
          </m:r>
          <m:d>
            <m:dPr>
              <m:begChr m:val="("/>
              <m:endChr m:val=")"/>
              <m:grow/>
            </m:dPr>
            <m:e>
              <m:r>
                <m:t>z</m:t>
              </m:r>
            </m:e>
          </m:d>
          <m:r>
            <m:t>=</m:t>
          </m:r>
          <m:f>
            <m:fPr>
              <m:type m:val="bar"/>
            </m:fPr>
            <m:num>
              <m:sSub>
                <m:e>
                  <m:r>
                    <m:t>U</m:t>
                  </m:r>
                </m:e>
                <m:sub>
                  <m:r>
                    <m:t>⋆</m:t>
                  </m:r>
                </m:sub>
              </m:sSub>
            </m:num>
            <m:den>
              <m:r>
                <m:t>k</m:t>
              </m:r>
            </m:den>
          </m:f>
          <m:r>
            <m:rPr>
              <m:sty m:val="p"/>
            </m:rPr>
            <m:t>ln</m:t>
          </m:r>
          <m:d>
            <m:dPr>
              <m:begChr m:val="("/>
              <m:endChr m:val=")"/>
              <m:grow/>
            </m:dPr>
            <m:e>
              <m:f>
                <m:fPr>
                  <m:type m:val="bar"/>
                </m:fPr>
                <m:num>
                  <m:r>
                    <m:t>z</m:t>
                  </m:r>
                </m:num>
                <m:den>
                  <m:sSub>
                    <m:e>
                      <m:r>
                        <m:t>z</m:t>
                      </m:r>
                    </m:e>
                    <m:sub>
                      <m:r>
                        <m:t>0</m:t>
                      </m:r>
                    </m:sub>
                  </m:sSub>
                </m:den>
              </m:f>
            </m:e>
          </m:d>
        </m:oMath>
      </m:oMathPara>
    </w:p>
    <w:p>
      <w:pPr>
        <w:pStyle w:val="FirstParagraph"/>
      </w:pPr>
      <w:r>
        <w:t xml:space="preserve">   </w:t>
      </w:r>
    </w:p>
    <w:p>
      <w:pPr>
        <w:pStyle w:val="BodyText"/>
      </w:pPr>
      <w:r>
        <w:br w:type="textWrapping"/>
      </w:r>
      <w:r>
        <w:t xml:space="preserve">Where</w:t>
      </w:r>
      <w:r>
        <w:t xml:space="preserve"> </w:t>
      </w:r>
      <m:oMath>
        <m:sSub>
          <m:e>
            <m:r>
              <m:t>U</m:t>
            </m:r>
          </m:e>
          <m:sub>
            <m:r>
              <m:t>*</m:t>
            </m:r>
          </m:sub>
        </m:sSub>
      </m:oMath>
      <w:r>
        <w:t xml:space="preserve">= shear velocity;</w:t>
      </w:r>
      <w:r>
        <w:t xml:space="preserve"> </w:t>
      </w:r>
      <m:oMath>
        <m:r>
          <m:t>κ</m:t>
        </m:r>
      </m:oMath>
      <w:r>
        <w:t xml:space="preserve">=0,42 is the</w:t>
      </w:r>
      <w:r>
        <w:t xml:space="preserve"> </w:t>
      </w:r>
      <w:r>
        <w:t xml:space="preserve">Von Karman constant; z</w:t>
      </w:r>
      <w:r>
        <w:rPr>
          <w:vertAlign w:val="subscript"/>
        </w:rPr>
        <w:t xml:space="preserve">0</w:t>
      </w:r>
      <w:r>
        <w:t xml:space="preserve">=roughness height. </w:t>
      </w:r>
    </w:p>
    <w:p>
      <w:pPr>
        <w:pStyle w:val="BodyText"/>
      </w:pPr>
      <w:r>
        <w:br w:type="textWrapping"/>
      </w:r>
      <w:r>
        <w:t xml:space="preserve">The idealized neutral conditions described above are rarely strictly</w:t>
      </w:r>
      <w:r>
        <w:t xml:space="preserve"> </w:t>
      </w:r>
      <w:r>
        <w:t xml:space="preserve">valid. Indeed, heating and cooling within the boundary layer result in</w:t>
      </w:r>
      <w:r>
        <w:t xml:space="preserve"> </w:t>
      </w:r>
      <w:r>
        <w:t xml:space="preserve">temperature differences, which equate to density differences. Thus,</w:t>
      </w:r>
      <w:r>
        <w:t xml:space="preserve"> </w:t>
      </w:r>
      <w:r>
        <w:t xml:space="preserve">buonacy effects and stability/instability are important processes in the</w:t>
      </w:r>
      <w:r>
        <w:t xml:space="preserve"> </w:t>
      </w:r>
      <w:r>
        <w:t xml:space="preserve">APBL.</w:t>
      </w:r>
    </w:p>
    <w:p>
      <w:pPr>
        <w:pStyle w:val="BodyText"/>
      </w:pPr>
      <w:r>
        <w:t xml:space="preserve">It  is possible to state the Equilibrium conditions of the APBL,  with</w:t>
      </w:r>
      <w:r>
        <w:t xml:space="preserve"> </w:t>
      </w:r>
      <w:r>
        <w:t xml:space="preserve">reference to the Adiabatic Lapse Rate (ALR)</w:t>
      </w:r>
      <w:r>
        <w:t xml:space="preserve"> </w:t>
      </w:r>
      <m:oMath>
        <m:r>
          <m:t>Γ</m:t>
        </m:r>
      </m:oMath>
      <w:r>
        <w:t xml:space="preserve">. This</w:t>
      </w:r>
      <w:r>
        <w:t xml:space="preserve"> </w:t>
      </w:r>
      <w:r>
        <w:t xml:space="preserve">gradient (eq. </w:t>
      </w:r>
      <w:r>
        <w:t xml:space="preserve">???</w:t>
      </w:r>
      <w:r>
        <w:t xml:space="preserve">) is computed by</w:t>
      </w:r>
      <w:r>
        <w:t xml:space="preserve"> </w:t>
      </w:r>
      <w:r>
        <w:t xml:space="preserve">combining the first law of thermodynamic</w:t>
      </w:r>
      <w:r>
        <w:t xml:space="preserve"> </w:t>
      </w:r>
      <w:r>
        <w:t xml:space="preserve">(eq. </w:t>
      </w:r>
      <w:r>
        <w:t xml:space="preserve">???</w:t>
      </w:r>
      <w:r>
        <w:t xml:space="preserve">) and the barometric equation</w:t>
      </w:r>
      <w:r>
        <w:t xml:space="preserve"> </w:t>
      </w:r>
      <w:r>
        <w:t xml:space="preserve">(eq.</w:t>
      </w:r>
      <w:r>
        <w:t xml:space="preserve"> </w:t>
      </w:r>
      <w:r>
        <w:t xml:space="preserve">???</w:t>
      </w:r>
      <w:r>
        <w:t xml:space="preserve">) :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d</m:t>
          </m:r>
          <m:r>
            <m:t>q</m:t>
          </m:r>
          <m:r>
            <m:t>=</m:t>
          </m:r>
          <m:r>
            <m:t>d</m:t>
          </m:r>
          <m:r>
            <m:t>h</m:t>
          </m:r>
          <m:r>
            <m:t>−</m:t>
          </m:r>
          <m:r>
            <m:t>v</m:t>
          </m:r>
          <m:r>
            <m:t>d</m:t>
          </m:r>
          <m:r>
            <m:t>p</m:t>
          </m:r>
          <m:r>
            <m:t>=</m:t>
          </m:r>
          <m:sSub>
            <m:e>
              <m:r>
                <m:t>C</m:t>
              </m:r>
            </m:e>
            <m:sub>
              <m:r>
                <m:t>p</m:t>
              </m:r>
            </m:sub>
          </m:sSub>
          <m:r>
            <m:t>d</m:t>
          </m:r>
          <m:r>
            <m:t>T</m:t>
          </m:r>
          <m:r>
            <m:t>−</m:t>
          </m:r>
          <m:f>
            <m:fPr>
              <m:type m:val="bar"/>
            </m:fPr>
            <m:num>
              <m:r>
                <m:t>1</m:t>
              </m:r>
            </m:num>
            <m:den>
              <m:r>
                <m:t>p</m:t>
              </m:r>
            </m:den>
          </m:f>
          <m:r>
            <m:t>d</m:t>
          </m:r>
          <m:r>
            <m:t>P</m:t>
          </m:r>
          <m:r>
            <m:t>=</m:t>
          </m:r>
          <m:r>
            <m:t>0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f>
            <m:fPr>
              <m:type m:val="bar"/>
            </m:fPr>
            <m:num>
              <m:r>
                <m:t>d</m:t>
              </m:r>
              <m:r>
                <m:t>P</m:t>
              </m:r>
            </m:num>
            <m:den>
              <m:r>
                <m:t>d</m:t>
              </m:r>
              <m:r>
                <m:t>Z</m:t>
              </m:r>
            </m:den>
          </m:f>
          <m:r>
            <m:t>=</m:t>
          </m:r>
          <m:r>
            <m:t>−</m:t>
          </m:r>
          <m:r>
            <m:t>p</m:t>
          </m:r>
          <m:r>
            <m:t>g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t>Γ</m:t>
          </m:r>
          <m:r>
            <m:t>=</m:t>
          </m:r>
          <m:r>
            <m:t> </m:t>
          </m:r>
          <m:f>
            <m:fPr>
              <m:type m:val="bar"/>
            </m:fPr>
            <m:num>
              <m:r>
                <m:t>d</m:t>
              </m:r>
              <m:r>
                <m:t>T</m:t>
              </m:r>
            </m:num>
            <m:den>
              <m:r>
                <m:t>d</m:t>
              </m:r>
              <m:r>
                <m:t>Z</m:t>
              </m:r>
            </m:den>
          </m:f>
          <m:r>
            <m:t>=</m:t>
          </m:r>
          <m:r>
            <m:t>−</m:t>
          </m:r>
          <m:f>
            <m:fPr>
              <m:type m:val="bar"/>
            </m:fPr>
            <m:num>
              <m:r>
                <m:t>g</m:t>
              </m:r>
            </m:num>
            <m:den>
              <m:sSub>
                <m:e>
                  <m:r>
                    <m:t>C</m:t>
                  </m:r>
                </m:e>
                <m:sub>
                  <m:r>
                    <m:t>p</m:t>
                  </m:r>
                </m:sub>
              </m:sSub>
            </m:den>
          </m:f>
          <m:r>
            <m:t>=</m:t>
          </m:r>
          <m:r>
            <m:t>9.8</m:t>
          </m:r>
          <m:r>
            <m:t> </m:t>
          </m:r>
          <m:f>
            <m:fPr>
              <m:type m:val="bar"/>
            </m:fPr>
            <m:num>
              <m:r>
                <m:t>K</m:t>
              </m:r>
            </m:num>
            <m:den>
              <m:r>
                <m:t>k</m:t>
              </m:r>
              <m:r>
                <m:t>m</m:t>
              </m:r>
            </m:den>
          </m:f>
        </m:oMath>
      </m:oMathPara>
    </w:p>
    <w:p>
      <w:pPr>
        <w:pStyle w:val="FirstParagraph"/>
      </w:pPr>
      <w:r>
        <w:br w:type="textWrapping"/>
      </w:r>
      <w:r>
        <w:br w:type="textWrapping"/>
      </w:r>
      <w:r>
        <w:t xml:space="preserve">Where for dry air C</w:t>
      </w:r>
      <w:r>
        <w:rPr>
          <w:vertAlign w:val="subscript"/>
        </w:rPr>
        <w:t xml:space="preserve">p</w:t>
      </w:r>
      <w:r>
        <w:t xml:space="preserve"> </w:t>
      </w:r>
      <w:r>
        <w:t xml:space="preserve">=1005</w:t>
      </w:r>
      <w:r>
        <w:t xml:space="preserve"> </w:t>
      </w:r>
      <w:r>
        <w:t xml:space="preserve">[</w:t>
      </w:r>
      <w:r>
        <w:t xml:space="preserve">J/K</w:t>
      </w:r>
      <w:r>
        <w:t xml:space="preserve">]</w:t>
      </w:r>
      <w:r>
        <w:t xml:space="preserve">.</w:t>
      </w:r>
    </w:p>
    <w:p>
      <w:pPr>
        <w:pStyle w:val="BodyText"/>
      </w:pPr>
      <w:r>
        <w:br w:type="textWrapping"/>
      </w:r>
      <w:r>
        <w:t xml:space="preserve">The idea is to consider those two different stability cases:</w:t>
      </w:r>
    </w:p>
    <w:p>
      <w:pPr>
        <w:pStyle w:val="BodyText"/>
      </w:pPr>
      <w:r>
        <w:br w:type="textWrapping"/>
      </w:r>
    </w:p>
    <w:p>
      <w:pPr>
        <w:numPr>
          <w:numId w:val="1001"/>
          <w:ilvl w:val="0"/>
        </w:numPr>
      </w:pPr>
      <w:r>
        <w:t xml:space="preserve">Unstable:                    </w:t>
      </w:r>
      <m:oMath>
        <m:r>
          <m:t>−</m:t>
        </m:r>
        <m:f>
          <m:fPr>
            <m:type m:val="bar"/>
          </m:fPr>
          <m:num>
            <m:r>
              <m:t>d</m:t>
            </m:r>
            <m:r>
              <m:t>T</m:t>
            </m:r>
          </m:num>
          <m:den>
            <m:r>
              <m:t>d</m:t>
            </m:r>
            <m:r>
              <m:t>Z</m:t>
            </m:r>
          </m:den>
        </m:f>
        <m:r>
          <m:t>&gt;</m:t>
        </m:r>
        <m:r>
          <m:t>Γ</m:t>
        </m:r>
      </m:oMath>
    </w:p>
    <w:p>
      <w:pPr>
        <w:numPr>
          <w:numId w:val="1001"/>
          <w:ilvl w:val="0"/>
        </w:numPr>
      </w:pPr>
      <w:r>
        <w:t xml:space="preserve">Strongly stable:        </w:t>
      </w:r>
      <m:oMath>
        <m:r>
          <m:t>−</m:t>
        </m:r>
        <m:f>
          <m:fPr>
            <m:type m:val="bar"/>
          </m:fPr>
          <m:num>
            <m:r>
              <m:t>d</m:t>
            </m:r>
            <m:r>
              <m:t>T</m:t>
            </m:r>
          </m:num>
          <m:den>
            <m:r>
              <m:t>d</m:t>
            </m:r>
            <m:r>
              <m:t>Z</m:t>
            </m:r>
          </m:den>
        </m:f>
        <m:r>
          <m:t>&lt;</m:t>
        </m:r>
        <m:r>
          <m:t>Γ</m:t>
        </m:r>
      </m:oMath>
    </w:p>
    <w:p>
      <w:pPr>
        <w:pStyle w:val="FirstParagraph"/>
      </w:pPr>
      <w:r>
        <w:t xml:space="preserve">In the first case, the absolute value of the temperature gradient is</w:t>
      </w:r>
      <w:r>
        <w:t xml:space="preserve"> </w:t>
      </w:r>
      <w:r>
        <w:t xml:space="preserve">higher than the ALR. This case is unstable and occurs during the day,</w:t>
      </w:r>
      <w:r>
        <w:t xml:space="preserve"> </w:t>
      </w:r>
      <w:r>
        <w:t xml:space="preserve">solar radiation heats the bottom air, so warm air at the bottom rises,</w:t>
      </w:r>
      <w:r>
        <w:t xml:space="preserve"> </w:t>
      </w:r>
      <w:r>
        <w:t xml:space="preserve">creating enhanced vertical velocities. That is, regions of warm</w:t>
      </w:r>
      <w:r>
        <w:t xml:space="preserve"> </w:t>
      </w:r>
      <w:r>
        <w:t xml:space="preserve">upward-moving air, called thermals, are surrunded by layers of cold</w:t>
      </w:r>
      <w:r>
        <w:t xml:space="preserve"> </w:t>
      </w:r>
      <w:r>
        <w:t xml:space="preserve">downward moving air. In this case, the plume generated by a point source</w:t>
      </w:r>
      <w:r>
        <w:t xml:space="preserve"> </w:t>
      </w:r>
      <w:r>
        <w:t xml:space="preserve">will be characterized by the so-called looping.</w:t>
      </w:r>
    </w:p>
    <w:p>
      <w:pPr>
        <w:pStyle w:val="BodyText"/>
      </w:pPr>
      <w:r>
        <w:t xml:space="preserve">In the second case, the absolute value of the temperature gradient is</w:t>
      </w:r>
      <w:r>
        <w:t xml:space="preserve"> </w:t>
      </w:r>
      <w:r>
        <w:t xml:space="preserve">much lower than the ALR. This case is stable, like in the night, when</w:t>
      </w:r>
      <w:r>
        <w:t xml:space="preserve"> </w:t>
      </w:r>
      <w:r>
        <w:t xml:space="preserve">the bottom layer cools down rapidly, and the boundary layer develops in</w:t>
      </w:r>
      <w:r>
        <w:t xml:space="preserve"> </w:t>
      </w:r>
      <w:r>
        <w:t xml:space="preserve">a stable density profile (heavy air below lighter air). In this case, </w:t>
      </w:r>
      <w:r>
        <w:t xml:space="preserve"> </w:t>
      </w:r>
      <w:r>
        <w:t xml:space="preserve">the plume generated by a point source will be characterized by the</w:t>
      </w:r>
      <w:r>
        <w:t xml:space="preserve"> </w:t>
      </w:r>
      <w:r>
        <w:t xml:space="preserve">so-called fanning.</w:t>
      </w:r>
    </w:p>
    <w:p>
      <w:pPr>
        <w:pStyle w:val="BodyText"/>
      </w:pPr>
      <w:r>
        <w:br w:type="textWrapping"/>
      </w:r>
      <w:r>
        <w:t xml:space="preserve">The concentration downstream a release of a continuous point source has</w:t>
      </w:r>
      <w:r>
        <w:t xml:space="preserve"> </w:t>
      </w:r>
      <w:r>
        <w:t xml:space="preserve">already be covered by literature (Csanady 1973):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d>
            <m:dPr>
              <m:begChr m:val="("/>
              <m:endChr m:val=")"/>
              <m:grow/>
            </m:dPr>
            <m:e>
              <m:r>
                <m:t>x</m:t>
              </m:r>
              <m:r>
                <m:t>,</m:t>
              </m:r>
              <m:r>
                <m:t>y</m:t>
              </m:r>
              <m:r>
                <m:t>,</m:t>
              </m:r>
              <m:r>
                <m:t>z</m:t>
              </m:r>
            </m:e>
          </m:d>
          <m:r>
            <m:t>=</m:t>
          </m:r>
          <m:f>
            <m:fPr>
              <m:type m:val="bar"/>
            </m:fPr>
            <m:num>
              <m:r>
                <m:t>M</m:t>
              </m:r>
            </m:num>
            <m:den>
              <m:r>
                <m:t>2</m:t>
              </m:r>
              <m:r>
                <m:t>π</m:t>
              </m:r>
              <m:bar>
                <m:barPr>
                  <m:pos m:val="top"/>
                </m:barPr>
                <m:e>
                  <m:r>
                    <m:t>u</m:t>
                  </m:r>
                </m:e>
              </m:bar>
              <m:sSub>
                <m:e>
                  <m:r>
                    <m:t>σ</m:t>
                  </m:r>
                </m:e>
                <m:sub>
                  <m:r>
                    <m:t>y</m:t>
                  </m:r>
                </m:sub>
              </m:sSub>
              <m:sSub>
                <m:e>
                  <m:r>
                    <m:t>σ</m:t>
                  </m:r>
                </m:e>
                <m:sub>
                  <m:r>
                    <m:t>z</m:t>
                  </m:r>
                </m:sub>
              </m:sSub>
            </m:den>
          </m:f>
          <m:d>
            <m:dPr>
              <m:begChr m:val="["/>
              <m:endChr m:val="]"/>
              <m:grow/>
            </m:dPr>
            <m:e>
              <m:r>
                <m:rPr>
                  <m:sty m:val="p"/>
                </m:rPr>
                <m:t>exp</m:t>
              </m:r>
              <m:d>
                <m:dPr>
                  <m:begChr m:val="("/>
                  <m:endChr m:val=")"/>
                  <m:grow/>
                </m:dPr>
                <m:e>
                  <m:r>
                    <m:t>−</m:t>
                  </m:r>
                  <m:f>
                    <m:fPr>
                      <m:type m:val="bar"/>
                    </m:fPr>
                    <m:num>
                      <m:sSup>
                        <m:e>
                          <m:r>
                            <m:t>y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</m:num>
                    <m:den>
                      <m:r>
                        <m:t>2</m:t>
                      </m:r>
                      <m:sSubSup>
                        <m:e>
                          <m:r>
                            <m:t>σ</m:t>
                          </m:r>
                        </m:e>
                        <m:sub>
                          <m:r>
                            <m:t>y</m:t>
                          </m:r>
                        </m:sub>
                        <m:sup>
                          <m:r>
                            <m:t>2</m:t>
                          </m:r>
                        </m:sup>
                      </m:sSubSup>
                    </m:den>
                  </m:f>
                  <m:r>
                    <m:t>−</m:t>
                  </m:r>
                  <m:f>
                    <m:fPr>
                      <m:type m:val="bar"/>
                    </m:fPr>
                    <m:num>
                      <m:sSup>
                        <m:e>
                          <m:d>
                            <m:dPr>
                              <m:begChr m:val="("/>
                              <m:endChr m:val=")"/>
                              <m:grow/>
                            </m:dPr>
                            <m:e>
                              <m:r>
                                <m:t>z</m:t>
                              </m:r>
                              <m:r>
                                <m:t>−</m:t>
                              </m:r>
                              <m:r>
                                <m:t>h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</m:num>
                    <m:den>
                      <m:r>
                        <m:t>2</m:t>
                      </m:r>
                      <m:sSubSup>
                        <m:e>
                          <m:r>
                            <m:t>σ</m:t>
                          </m:r>
                        </m:e>
                        <m:sub>
                          <m:r>
                            <m:t>z</m:t>
                          </m:r>
                        </m:sub>
                        <m:sup>
                          <m:r>
                            <m:t>2</m:t>
                          </m:r>
                        </m:sup>
                      </m:sSubSup>
                    </m:den>
                  </m:f>
                </m:e>
              </m:d>
              <m:r>
                <m:t>+</m:t>
              </m:r>
              <m:r>
                <m:t> </m:t>
              </m:r>
              <m:r>
                <m:rPr>
                  <m:sty m:val="p"/>
                </m:rPr>
                <m:t>exp</m:t>
              </m:r>
              <m:d>
                <m:dPr>
                  <m:begChr m:val="("/>
                  <m:endChr m:val=")"/>
                  <m:grow/>
                </m:dPr>
                <m:e>
                  <m:r>
                    <m:t>−</m:t>
                  </m:r>
                  <m:f>
                    <m:fPr>
                      <m:type m:val="bar"/>
                    </m:fPr>
                    <m:num>
                      <m:sSup>
                        <m:e>
                          <m:r>
                            <m:t>y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</m:num>
                    <m:den>
                      <m:r>
                        <m:t>2</m:t>
                      </m:r>
                      <m:sSubSup>
                        <m:e>
                          <m:r>
                            <m:t>σ</m:t>
                          </m:r>
                        </m:e>
                        <m:sub>
                          <m:r>
                            <m:t>y</m:t>
                          </m:r>
                        </m:sub>
                        <m:sup>
                          <m:r>
                            <m:t>2</m:t>
                          </m:r>
                        </m:sup>
                      </m:sSubSup>
                    </m:den>
                  </m:f>
                  <m:r>
                    <m:t>−</m:t>
                  </m:r>
                  <m:f>
                    <m:fPr>
                      <m:type m:val="bar"/>
                    </m:fPr>
                    <m:num>
                      <m:sSup>
                        <m:e>
                          <m:d>
                            <m:dPr>
                              <m:begChr m:val="("/>
                              <m:endChr m:val=")"/>
                              <m:grow/>
                            </m:dPr>
                            <m:e>
                              <m:r>
                                <m:t>z</m:t>
                              </m:r>
                              <m:r>
                                <m:t>+</m:t>
                              </m:r>
                              <m:r>
                                <m:t>h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</m:num>
                    <m:den>
                      <m:r>
                        <m:t>2</m:t>
                      </m:r>
                      <m:sSubSup>
                        <m:e>
                          <m:r>
                            <m:t>σ</m:t>
                          </m:r>
                        </m:e>
                        <m:sub>
                          <m:r>
                            <m:t>z</m:t>
                          </m:r>
                        </m:sub>
                        <m:sup>
                          <m:r>
                            <m:t>2</m:t>
                          </m:r>
                        </m:sup>
                      </m:sSubSup>
                    </m:den>
                  </m:f>
                </m:e>
              </m:d>
            </m:e>
          </m:d>
        </m:oMath>
      </m:oMathPara>
    </w:p>
    <w:p>
      <w:pPr>
        <w:pStyle w:val="FirstParagraph"/>
      </w:pPr>
      <w:r>
        <w:br w:type="textWrapping"/>
      </w:r>
      <w:r>
        <w:t xml:space="preserve">with  M the mass flow, </w:t>
      </w:r>
      <w:r>
        <w:rPr>
          <w:i/>
        </w:rPr>
        <w:t xml:space="preserve">u</w:t>
      </w:r>
      <w:r>
        <w:t xml:space="preserve"> </w:t>
      </w:r>
      <w:r>
        <w:t xml:space="preserve">the velocity, the slack height </w:t>
      </w:r>
      <w:r>
        <w:rPr>
          <w:i/>
        </w:rPr>
        <w:t xml:space="preserve">h</w:t>
      </w:r>
      <w:r>
        <w:t xml:space="preserve"> </w:t>
      </w:r>
      <w:r>
        <w:t xml:space="preserve">and the two variances </w:t>
      </w:r>
      <m:oMath>
        <m:sSub>
          <m:e>
            <m:r>
              <m:t>σ</m:t>
            </m:r>
          </m:e>
          <m:sub>
            <m:r>
              <m:t>y</m:t>
            </m:r>
          </m:sub>
        </m:sSub>
      </m:oMath>
      <w:r>
        <w:t xml:space="preserve"> </w:t>
      </w:r>
      <w:r>
        <w:t xml:space="preserve">and </w:t>
      </w:r>
      <m:oMath>
        <m:sSub>
          <m:e>
            <m:r>
              <m:t>σ</m:t>
            </m:r>
          </m:e>
          <m:sub>
            <m:r>
              <m:t>z</m:t>
            </m:r>
          </m:sub>
        </m:sSub>
      </m:oMath>
      <w:r>
        <w:t xml:space="preserve">, which</w:t>
      </w:r>
      <w:r>
        <w:t xml:space="preserve"> </w:t>
      </w:r>
      <w:r>
        <w:t xml:space="preserve">can be approximated in the near field by the turbulent intensities </w:t>
      </w:r>
      <w:r>
        <w:t xml:space="preserve"> </w:t>
      </w:r>
      <w:r>
        <w:t xml:space="preserve">times the horizontal distance </w:t>
      </w:r>
      <m:oMath>
        <m:sSub>
          <m:e>
            <m:r>
              <m:t>i</m:t>
            </m:r>
          </m:e>
          <m:sub>
            <m:r>
              <m:t>y</m:t>
            </m:r>
          </m:sub>
        </m:sSub>
        <m:r>
          <m:t>x</m:t>
        </m:r>
      </m:oMath>
      <w:r>
        <w:t xml:space="preserve"> </w:t>
      </w:r>
      <w:r>
        <w:t xml:space="preserve">and </w:t>
      </w:r>
      <m:oMath>
        <m:sSub>
          <m:e>
            <m:r>
              <m:t>i</m:t>
            </m:r>
          </m:e>
          <m:sub>
            <m:r>
              <m:t>z</m:t>
            </m:r>
          </m:sub>
        </m:sSub>
        <m:r>
          <m:t>x</m:t>
        </m:r>
      </m:oMath>
      <w:r>
        <w:t xml:space="preserve"> </w:t>
      </w:r>
      <w:r>
        <w:t xml:space="preserve">respectively  (Jirka 2005) . However, as we are simulating in two</w:t>
      </w:r>
      <w:r>
        <w:t xml:space="preserve"> </w:t>
      </w:r>
      <w:r>
        <w:t xml:space="preserve">dimensions, equation </w:t>
      </w:r>
      <w:r>
        <w:t xml:space="preserve">???</w:t>
      </w:r>
      <w:r>
        <w:t xml:space="preserve">, must be</w:t>
      </w:r>
      <w:r>
        <w:t xml:space="preserve"> </w:t>
      </w:r>
      <w:r>
        <w:t xml:space="preserve">fitted as there is no diffusion in  </w:t>
      </w:r>
      <m:oMath>
        <m:sSub>
          <m:e>
            <m:r>
              <m:t>σ</m:t>
            </m:r>
          </m:e>
          <m:sub>
            <m:r>
              <m:t>y</m:t>
            </m:r>
          </m:sub>
        </m:sSub>
      </m:oMath>
      <w:r>
        <w:t xml:space="preserve">. So the problem</w:t>
      </w:r>
      <w:r>
        <w:t xml:space="preserve"> </w:t>
      </w:r>
      <w:r>
        <w:t xml:space="preserve">simplifies to an advective  one point source release, with a mirror</w:t>
      </w:r>
      <w:r>
        <w:t xml:space="preserve"> </w:t>
      </w:r>
      <w:r>
        <w:t xml:space="preserve">condition (eq. </w:t>
      </w:r>
      <w:r>
        <w:t xml:space="preserve">???</w:t>
      </w:r>
      <w:r>
        <w:t xml:space="preserve">):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d>
            <m:dPr>
              <m:begChr m:val="("/>
              <m:endChr m:val=")"/>
              <m:grow/>
            </m:dPr>
            <m:e>
              <m:r>
                <m:t>x</m:t>
              </m:r>
              <m:r>
                <m:t>,</m:t>
              </m:r>
              <m:r>
                <m:t>z</m:t>
              </m:r>
            </m:e>
          </m:d>
          <m:r>
            <m:t>=</m:t>
          </m:r>
          <m:f>
            <m:fPr>
              <m:type m:val="bar"/>
            </m:fPr>
            <m:num>
              <m:groupChr>
                <m:groupChrPr>
                  <m:chr m:val="̇"/>
                  <m:pos m:val="top"/>
                  <m:vertJc m:val="bot"/>
                </m:groupChrPr>
                <m:e>
                  <m:r>
                    <m:t>m</m:t>
                  </m:r>
                </m:e>
              </m:groupChr>
            </m:num>
            <m:den>
              <m:rad>
                <m:radPr>
                  <m:degHide m:val="1"/>
                </m:radPr>
                <m:deg/>
                <m:e>
                  <m:r>
                    <m:t>2</m:t>
                  </m:r>
                  <m:r>
                    <m:t>π</m:t>
                  </m:r>
                </m:e>
              </m:rad>
              <m:bar>
                <m:barPr>
                  <m:pos m:val="top"/>
                </m:barPr>
                <m:e>
                  <m:r>
                    <m:t>u</m:t>
                  </m:r>
                </m:e>
              </m:bar>
              <m:sSub>
                <m:e>
                  <m:r>
                    <m:t>σ</m:t>
                  </m:r>
                </m:e>
                <m:sub>
                  <m:r>
                    <m:t>z</m:t>
                  </m:r>
                </m:sub>
              </m:sSub>
            </m:den>
          </m:f>
          <m:d>
            <m:dPr>
              <m:begChr m:val="["/>
              <m:endChr m:val="]"/>
              <m:grow/>
            </m:dPr>
            <m:e>
              <m:r>
                <m:rPr>
                  <m:sty m:val="p"/>
                </m:rPr>
                <m:t>exp</m:t>
              </m:r>
              <m:d>
                <m:dPr>
                  <m:begChr m:val="("/>
                  <m:endChr m:val=")"/>
                  <m:grow/>
                </m:dPr>
                <m:e>
                  <m:r>
                    <m:t>−</m:t>
                  </m:r>
                  <m:f>
                    <m:fPr>
                      <m:type m:val="bar"/>
                    </m:fPr>
                    <m:num>
                      <m:sSup>
                        <m:e>
                          <m:d>
                            <m:dPr>
                              <m:begChr m:val="("/>
                              <m:endChr m:val=")"/>
                              <m:grow/>
                            </m:dPr>
                            <m:e>
                              <m:r>
                                <m:t>z</m:t>
                              </m:r>
                              <m:r>
                                <m:t>−</m:t>
                              </m:r>
                              <m:r>
                                <m:t>h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</m:num>
                    <m:den>
                      <m:r>
                        <m:t>2</m:t>
                      </m:r>
                      <m:sSubSup>
                        <m:e>
                          <m:r>
                            <m:t>σ</m:t>
                          </m:r>
                        </m:e>
                        <m:sub>
                          <m:r>
                            <m:t>z</m:t>
                          </m:r>
                        </m:sub>
                        <m:sup>
                          <m:r>
                            <m:t>2</m:t>
                          </m:r>
                        </m:sup>
                      </m:sSubSup>
                    </m:den>
                  </m:f>
                </m:e>
              </m:d>
              <m:r>
                <m:t>+</m:t>
              </m:r>
              <m:r>
                <m:t> </m:t>
              </m:r>
              <m:r>
                <m:rPr>
                  <m:sty m:val="p"/>
                </m:rPr>
                <m:t>exp</m:t>
              </m:r>
              <m:d>
                <m:dPr>
                  <m:begChr m:val="("/>
                  <m:endChr m:val=")"/>
                  <m:grow/>
                </m:dPr>
                <m:e>
                  <m:r>
                    <m:t>−</m:t>
                  </m:r>
                  <m:f>
                    <m:fPr>
                      <m:type m:val="bar"/>
                    </m:fPr>
                    <m:num>
                      <m:sSup>
                        <m:e>
                          <m:d>
                            <m:dPr>
                              <m:begChr m:val="("/>
                              <m:endChr m:val=")"/>
                              <m:grow/>
                            </m:dPr>
                            <m:e>
                              <m:r>
                                <m:t>z</m:t>
                              </m:r>
                              <m:r>
                                <m:t>+</m:t>
                              </m:r>
                              <m:r>
                                <m:t>h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</m:num>
                    <m:den>
                      <m:r>
                        <m:t>2</m:t>
                      </m:r>
                      <m:sSubSup>
                        <m:e>
                          <m:r>
                            <m:t>σ</m:t>
                          </m:r>
                        </m:e>
                        <m:sub>
                          <m:r>
                            <m:t>z</m:t>
                          </m:r>
                        </m:sub>
                        <m:sup>
                          <m:r>
                            <m:t>2</m:t>
                          </m:r>
                        </m:sup>
                      </m:sSubSup>
                    </m:den>
                  </m:f>
                </m:e>
              </m:d>
            </m:e>
          </m:d>
        </m:oMath>
      </m:oMathPara>
    </w:p>
    <w:p>
      <w:pPr>
        <w:pStyle w:val="FirstParagraph"/>
      </w:pPr>
      <w:r>
        <w:t xml:space="preserve">With the variance  </w:t>
      </w:r>
      <m:oMath>
        <m:sSub>
          <m:e>
            <m:r>
              <m:t>σ</m:t>
            </m:r>
          </m:e>
          <m:sub>
            <m:r>
              <m:t>z</m:t>
            </m:r>
          </m:sub>
        </m:sSub>
        <m:r>
          <m:t>=</m:t>
        </m:r>
        <m:sSub>
          <m:e>
            <m:r>
              <m:t>i</m:t>
            </m:r>
          </m:e>
          <m:sub>
            <m:r>
              <m:t>z</m:t>
            </m:r>
          </m:sub>
        </m:sSub>
        <m:r>
          <m:t>⋅</m:t>
        </m:r>
        <m:r>
          <m:t>x</m:t>
        </m:r>
      </m:oMath>
      <w:r>
        <w:t xml:space="preserve">, increasing linearly with the</w:t>
      </w:r>
      <w:r>
        <w:t xml:space="preserve"> </w:t>
      </w:r>
      <w:r>
        <w:t xml:space="preserve">distance to the stack.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3" w:name="method"/>
      <w:bookmarkEnd w:id="23"/>
      <w:r>
        <w:t xml:space="preserve">Method</w:t>
      </w:r>
    </w:p>
    <w:p>
      <w:pPr>
        <w:pStyle w:val="FirstParagraph"/>
      </w:pPr>
      <w:r>
        <w:br w:type="textWrapping"/>
      </w:r>
      <w:r>
        <w:t xml:space="preserve">The simulation was performed using the Software</w:t>
      </w:r>
      <w:r>
        <w:t xml:space="preserve"> </w:t>
      </w:r>
      <w:r>
        <w:rPr>
          <w:i/>
        </w:rPr>
        <w:t xml:space="preserve">Fluent</w:t>
      </w:r>
      <w:r>
        <w:t xml:space="preserve">. The</w:t>
      </w:r>
      <w:r>
        <w:t xml:space="preserve"> </w:t>
      </w:r>
      <w:r>
        <w:t xml:space="preserve">energy equations and the species transport were enabled, and the</w:t>
      </w:r>
      <w:r>
        <w:t xml:space="preserve"> </w:t>
      </w:r>
      <w:r>
        <w:t xml:space="preserve">k-epsilon standard model was used. The  2D simulation was performed on a</w:t>
      </w:r>
      <w:r>
        <w:t xml:space="preserve"> </w:t>
      </w:r>
      <w:r>
        <w:t xml:space="preserve">section with dimensions of 300 x 60 meters. The stack of dimension 1 x</w:t>
      </w:r>
      <w:r>
        <w:t xml:space="preserve"> </w:t>
      </w:r>
      <w:r>
        <w:t xml:space="preserve">10 m was placed at 30 m of the wind inlet (left side). A global mesh</w:t>
      </w:r>
      <w:r>
        <w:t xml:space="preserve"> </w:t>
      </w:r>
      <w:r>
        <w:t xml:space="preserve">side of 1 m was used with a refinement of 0.2 m around the plume. A</w:t>
      </w:r>
      <w:r>
        <w:t xml:space="preserve"> </w:t>
      </w:r>
      <w:r>
        <w:t xml:space="preserve">total number of 19918 cells were used. The final mesh can be seen in</w:t>
      </w:r>
      <w:r>
        <w:t xml:space="preserve"> </w:t>
      </w:r>
      <w:r>
        <w:t xml:space="preserve">Figure </w:t>
      </w:r>
      <w:r>
        <w:t xml:space="preserve">???</w:t>
      </w:r>
      <w:r>
        <w:t xml:space="preserve">.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1639200" cy="619200"/>
            <wp:effectExtent b="0" l="0" r="0" t="0"/>
            <wp:docPr descr="Mesh of the simulations " title="" id="1" name="Picture"/>
            <a:graphic>
              <a:graphicData uri="http://schemas.openxmlformats.org/drawingml/2006/picture">
                <pic:pic>
                  <pic:nvPicPr>
                    <pic:cNvPr descr="figures/mesh1/mesh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619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Mesh of the simulations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Following boundary conditions were applied on the different surfaces:</w:t>
      </w:r>
    </w:p>
    <w:p>
      <w:pPr>
        <w:numPr>
          <w:numId w:val="1002"/>
          <w:ilvl w:val="0"/>
        </w:numPr>
      </w:pPr>
      <w:r>
        <w:t xml:space="preserve">Upper boundary: Pressure outlet</w:t>
      </w:r>
    </w:p>
    <w:p>
      <w:pPr>
        <w:numPr>
          <w:numId w:val="1002"/>
          <w:ilvl w:val="0"/>
        </w:numPr>
      </w:pPr>
      <w:r>
        <w:t xml:space="preserve">Right boundary: Pressure outlet </w:t>
      </w:r>
    </w:p>
    <w:p>
      <w:pPr>
        <w:numPr>
          <w:numId w:val="1002"/>
          <w:ilvl w:val="0"/>
        </w:numPr>
      </w:pPr>
      <w:r>
        <w:t xml:space="preserve">Under boundary (ground): Wall with no slip condition, at temperature</w:t>
      </w:r>
      <w:r>
        <w:t xml:space="preserve"> </w:t>
      </w:r>
      <w:r>
        <w:t xml:space="preserve">Tg</w:t>
      </w:r>
    </w:p>
    <w:p>
      <w:pPr>
        <w:numPr>
          <w:numId w:val="1002"/>
          <w:ilvl w:val="0"/>
        </w:numPr>
      </w:pPr>
      <w:r>
        <w:t xml:space="preserve">Left boundary (wind inlet): Velocity profile Uin(y), at temperature</w:t>
      </w:r>
      <w:r>
        <w:t xml:space="preserve"> </w:t>
      </w:r>
      <w:r>
        <w:t xml:space="preserve">Tin(y)</w:t>
      </w:r>
    </w:p>
    <w:p>
      <w:pPr>
        <w:numPr>
          <w:numId w:val="1002"/>
          <w:ilvl w:val="0"/>
        </w:numPr>
      </w:pPr>
      <w:r>
        <w:t xml:space="preserve">Wall of the chimney:  Wall with no slip condition, adiabatic</w:t>
      </w:r>
    </w:p>
    <w:p>
      <w:pPr>
        <w:numPr>
          <w:numId w:val="1002"/>
          <w:ilvl w:val="0"/>
        </w:numPr>
      </w:pPr>
      <w:r>
        <w:t xml:space="preserve">Chimney outlet:</w:t>
      </w:r>
      <w:r>
        <w:t xml:space="preserve"> </w:t>
      </w:r>
      <m:oMath>
        <m:r>
          <m:t>C</m:t>
        </m:r>
        <m:sSub>
          <m:e>
            <m:r>
              <m:t>O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at 453 K, with a velocity of 0.5</w:t>
      </w:r>
      <w:r>
        <w:t xml:space="preserve"> </w:t>
      </w:r>
      <w:r>
        <w:t xml:space="preserve">m/s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And for two different simulation cases:</w:t>
      </w:r>
    </w:p>
    <w:p>
      <w:pPr>
        <w:pStyle w:val="BodyText"/>
      </w:pPr>
      <w:r>
        <w:br w:type="textWrapping"/>
      </w:r>
      <w:r>
        <w:t xml:space="preserve">Simulation 1:  Stable thermal boundary condition.</w:t>
      </w:r>
    </w:p>
    <w:p>
      <w:pPr>
        <w:pStyle w:val="BodyText"/>
      </w:pPr>
      <m:oMath>
        <m:sSub>
          <m:e>
            <m:r>
              <m:t>T</m:t>
            </m:r>
          </m:e>
          <m:sub>
            <m:r>
              <m:t>g</m:t>
            </m:r>
          </m:sub>
        </m:sSub>
        <m:r>
          <m:t>=</m:t>
        </m:r>
        <m:r>
          <m:t>288</m:t>
        </m:r>
        <m:r>
          <m:t> </m:t>
        </m:r>
        <m:r>
          <m:t>K</m:t>
        </m:r>
        <m:r>
          <m:t>,</m:t>
        </m:r>
        <m:r>
          <m:t> </m:t>
        </m:r>
        <m:sSub>
          <m:e>
            <m:r>
              <m:t>T</m:t>
            </m:r>
          </m:e>
          <m:sub>
            <m:r>
              <m:t>i</m:t>
            </m:r>
            <m:r>
              <m:t>n</m:t>
            </m:r>
          </m:sub>
        </m:sSub>
        <m:r>
          <m:t>=</m:t>
        </m:r>
        <m:sSub>
          <m:e>
            <m:r>
              <m:t>T</m:t>
            </m:r>
          </m:e>
          <m:sub>
            <m:r>
              <m:t>g</m:t>
            </m:r>
          </m:sub>
        </m:sSub>
        <m: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30</m:t>
            </m:r>
          </m:den>
        </m:f>
        <m:r>
          <m:t>⋅</m:t>
        </m:r>
        <m:r>
          <m:t>y</m:t>
        </m:r>
        <m:r>
          <m:t> </m:t>
        </m:r>
      </m:oMath>
    </w:p>
    <w:p>
      <w:pPr>
        <w:pStyle w:val="BodyText"/>
      </w:pPr>
      <w:r>
        <w:t xml:space="preserve">where </w:t>
      </w:r>
      <w:r>
        <w:rPr>
          <w:i/>
        </w:rPr>
        <w:t xml:space="preserve">y</w:t>
      </w:r>
      <w:r>
        <w:t xml:space="preserve"> </w:t>
      </w:r>
      <w:r>
        <w:t xml:space="preserve">is the vertical height in meter starting from the</w:t>
      </w:r>
      <w:r>
        <w:t xml:space="preserve"> </w:t>
      </w:r>
      <w:r>
        <w:t xml:space="preserve">ground. </w:t>
      </w:r>
    </w:p>
    <w:p>
      <w:pPr>
        <w:pStyle w:val="BodyText"/>
      </w:pPr>
      <w:r>
        <w:t xml:space="preserve">Simulation 2: Unstable thermal boundary condition. </w:t>
      </w:r>
    </w:p>
    <w:p>
      <w:pPr>
        <w:pStyle w:val="BodyText"/>
      </w:pPr>
      <m:oMath>
        <m:sSub>
          <m:e>
            <m:r>
              <m:t>T</m:t>
            </m:r>
          </m:e>
          <m:sub>
            <m:r>
              <m:t>g</m:t>
            </m:r>
          </m:sub>
        </m:sSub>
        <m:r>
          <m:t>=</m:t>
        </m:r>
        <m:r>
          <m:t>293</m:t>
        </m:r>
        <m:r>
          <m:t>K</m:t>
        </m:r>
        <m:r>
          <m:t>,</m:t>
        </m:r>
        <m:r>
          <m:t> </m:t>
        </m:r>
        <m:sSub>
          <m:e>
            <m:r>
              <m:t>T</m:t>
            </m:r>
          </m:e>
          <m:sub>
            <m:r>
              <m:t>i</m:t>
            </m:r>
            <m:r>
              <m:t>n</m:t>
            </m:r>
          </m:sub>
        </m:sSub>
        <m:r>
          <m:t>=</m:t>
        </m:r>
        <m:sSub>
          <m:e>
            <m:r>
              <m:t>T</m:t>
            </m:r>
          </m:e>
          <m:sub>
            <m:r>
              <m:t>g</m:t>
            </m:r>
          </m:sub>
        </m:sSub>
        <m: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30</m:t>
            </m:r>
          </m:den>
        </m:f>
        <m:r>
          <m:t>⋅</m:t>
        </m:r>
        <m:r>
          <m:t>y</m:t>
        </m:r>
        <m:r>
          <m:t> </m:t>
        </m:r>
      </m:oMath>
    </w:p>
    <w:p>
      <w:pPr>
        <w:pStyle w:val="BodyText"/>
      </w:pPr>
      <w:r>
        <w:t xml:space="preserve">And the velocity profile in both simulation can be calculated as</w:t>
      </w:r>
      <w:r>
        <w:t xml:space="preserve"> </w:t>
      </w:r>
      <w:r>
        <w:t xml:space="preserve">presented in the introduction:</w:t>
      </w:r>
    </w:p>
    <w:p>
      <w:pPr>
        <w:pStyle w:val="BodyText"/>
      </w:pPr>
      <m:oMath>
        <m:sSub>
          <m:e>
            <m:r>
              <m:t>U</m:t>
            </m:r>
          </m:e>
          <m:sub>
            <m:r>
              <m:t>i</m:t>
            </m:r>
            <m:r>
              <m:t>n</m:t>
            </m:r>
          </m:sub>
        </m:sSub>
        <m:d>
          <m:dPr>
            <m:begChr m:val="("/>
            <m:endChr m:val=")"/>
            <m:grow/>
          </m:dPr>
          <m:e>
            <m:r>
              <m:t>y</m:t>
            </m:r>
          </m:e>
        </m:d>
        <m:r>
          <m:t>=</m:t>
        </m:r>
        <m:f>
          <m:fPr>
            <m:type m:val="bar"/>
          </m:fPr>
          <m:num>
            <m:sSub>
              <m:e>
                <m:r>
                  <m:t>U</m:t>
                </m:r>
              </m:e>
              <m:sub>
                <m:r>
                  <m:t>*</m:t>
                </m:r>
              </m:sub>
            </m:sSub>
          </m:num>
          <m:den>
            <m:r>
              <m:t>κ</m:t>
            </m:r>
          </m:den>
        </m:f>
        <m:r>
          <m:rPr>
            <m:sty m:val="p"/>
          </m:rPr>
          <m:t>ln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y</m:t>
                </m:r>
              </m:num>
              <m:den>
                <m:sSub>
                  <m:e>
                    <m:r>
                      <m:t>y</m:t>
                    </m:r>
                  </m:e>
                  <m:sub>
                    <m:r>
                      <m:t>0</m:t>
                    </m:r>
                  </m:sub>
                </m:sSub>
              </m:den>
            </m:f>
          </m:e>
        </m:d>
      </m:oMath>
    </w:p>
    <w:p>
      <w:pPr>
        <w:pStyle w:val="BodyText"/>
      </w:pPr>
      <w:r>
        <w:t xml:space="preserve">starting from </w:t>
      </w:r>
      <m:oMath>
        <m:sSub>
          <m:e>
            <m:r>
              <m:t>y</m:t>
            </m:r>
          </m:e>
          <m:sub>
            <m:r>
              <m:t>0</m:t>
            </m:r>
          </m:sub>
        </m:sSub>
      </m:oMath>
      <w:r>
        <w:t xml:space="preserve"> </w:t>
      </w:r>
      <w:r>
        <w:t xml:space="preserve">=1 (roughness height for large towns</w:t>
      </w:r>
      <w:r>
        <w:t xml:space="preserve"> </w:t>
      </w:r>
      <w:r>
        <w:t xml:space="preserve">and cities), and with</w:t>
      </w:r>
      <w:r>
        <w:t xml:space="preserve"> </w:t>
      </w:r>
      <m:oMath>
        <m:sSub>
          <m:e>
            <m:r>
              <m:t>U</m:t>
            </m:r>
          </m:e>
          <m:sub>
            <m:r>
              <m:t>*</m:t>
            </m:r>
          </m:sub>
        </m:sSub>
      </m:oMath>
      <w:r>
        <w:t xml:space="preserve">=0.52, (veloctiy of 3 m/s at 10</w:t>
      </w:r>
      <w:r>
        <w:t xml:space="preserve"> </w:t>
      </w:r>
      <w:r>
        <w:t xml:space="preserve">m)</w:t>
      </w:r>
    </w:p>
    <w:p>
      <w:pPr>
        <w:pStyle w:val="BodyText"/>
      </w:pPr>
      <w:r>
        <w:br w:type="textWrapping"/>
      </w:r>
      <w:r>
        <w:t xml:space="preserve">Both simulations were run by using a first order model and iterating</w:t>
      </w:r>
      <w:r>
        <w:t xml:space="preserve"> </w:t>
      </w:r>
      <w:r>
        <w:t xml:space="preserve">until all residual went below 10e-3. 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5" w:name="results"/>
      <w:bookmarkEnd w:id="25"/>
      <w:r>
        <w:t xml:space="preserve">Results</w:t>
      </w:r>
    </w:p>
    <w:p>
      <w:pPr>
        <w:pStyle w:val="FirstParagraph"/>
      </w:pPr>
      <w:r>
        <w:t xml:space="preserve">The main results, consisting of temperature, mass fraction and velocity</w:t>
      </w:r>
      <w:r>
        <w:t xml:space="preserve"> </w:t>
      </w:r>
      <w:r>
        <w:t xml:space="preserve">profile</w:t>
      </w:r>
      <w:r>
        <w:t xml:space="preserve"> </w:t>
      </w:r>
      <w:r>
        <w:t xml:space="preserve">(fig. </w:t>
      </w:r>
      <w:r>
        <w:t xml:space="preserve">???</w:t>
      </w:r>
      <w:r>
        <w:t xml:space="preserve">, </w:t>
      </w:r>
      <w:r>
        <w:t xml:space="preserve">???</w:t>
      </w:r>
      <w:r>
        <w:t xml:space="preserve"> </w:t>
      </w:r>
      <w:r>
        <w:t xml:space="preserve">and </w:t>
      </w:r>
      <w:r>
        <w:t xml:space="preserve">???</w:t>
      </w:r>
      <w:r>
        <w:t xml:space="preserve">) are depicted here. The figures of</w:t>
      </w:r>
      <w:r>
        <w:t xml:space="preserve"> </w:t>
      </w:r>
      <w:r>
        <w:t xml:space="preserve">the first case are representative of both simulations as the solutions</w:t>
      </w:r>
      <w:r>
        <w:t xml:space="preserve"> </w:t>
      </w:r>
      <w:r>
        <w:t xml:space="preserve">of the two cases are quasi identical</w:t>
      </w:r>
      <w:r>
        <w:t xml:space="preserve"> </w:t>
      </w:r>
      <w:r>
        <w:t xml:space="preserve">(fig. </w:t>
      </w:r>
      <w:r>
        <w:t xml:space="preserve">???</w:t>
      </w:r>
      <w:r>
        <w:t xml:space="preserve">).</w:t>
      </w:r>
    </w:p>
    <w:p>
      <w:pPr>
        <w:pStyle w:val="FigureWithCaption"/>
      </w:pPr>
      <w:r>
        <w:drawing>
          <wp:inline>
            <wp:extent cx="1639200" cy="607200"/>
            <wp:effectExtent b="0" l="0" r="0" t="0"/>
            <wp:docPr descr="Case 1. Temperature [K] distribution. " title="" id="1" name="Picture"/>
            <a:graphic>
              <a:graphicData uri="http://schemas.openxmlformats.org/drawingml/2006/picture">
                <pic:pic>
                  <pic:nvPicPr>
                    <pic:cNvPr descr="figures/case1mos/case1-temperat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60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i/>
        </w:rPr>
        <w:t xml:space="preserve">Case 1.</w:t>
      </w:r>
      <w:r>
        <w:t xml:space="preserve"> </w:t>
      </w:r>
      <w:r>
        <w:t xml:space="preserve">Temperature</w:t>
      </w:r>
      <w:r>
        <w:t xml:space="preserve"> </w:t>
      </w:r>
      <w:r>
        <w:t xml:space="preserve">[</w:t>
      </w:r>
      <w:r>
        <w:t xml:space="preserve">K</w:t>
      </w:r>
      <w:r>
        <w:t xml:space="preserve">]</w:t>
      </w:r>
      <w:r>
        <w:t xml:space="preserve"> </w:t>
      </w:r>
      <w:r>
        <w:t xml:space="preserve">distribution.</w:t>
      </w:r>
      <w:r>
        <w:t xml:space="preserve"> </w:t>
      </w:r>
    </w:p>
    <w:p>
      <w:pPr>
        <w:pStyle w:val="BodyText"/>
      </w:pPr>
    </w:p>
    <w:p>
      <w:pPr>
        <w:pStyle w:val="FigureWithCaption"/>
      </w:pPr>
      <w:r>
        <w:drawing>
          <wp:inline>
            <wp:extent cx="1639200" cy="602400"/>
            <wp:effectExtent b="0" l="0" r="0" t="0"/>
            <wp:docPr descr="Case 1. CO2 mass fraction [-] distribution. " title="" id="1" name="Picture"/>
            <a:graphic>
              <a:graphicData uri="http://schemas.openxmlformats.org/drawingml/2006/picture">
                <pic:pic>
                  <pic:nvPicPr>
                    <pic:cNvPr descr="figures/case2mos/cas1-species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60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i/>
        </w:rPr>
        <w:t xml:space="preserve">Case 1. </w:t>
      </w:r>
      <w:r>
        <w:t xml:space="preserve">CO2 mass fraction</w:t>
      </w:r>
      <w:r>
        <w:t xml:space="preserve"> </w:t>
      </w:r>
      <w:r>
        <w:t xml:space="preserve">[</w:t>
      </w:r>
      <w:r>
        <w:t xml:space="preserve">-</w:t>
      </w:r>
      <w:r>
        <w:t xml:space="preserve">]</w:t>
      </w:r>
      <w:r>
        <w:t xml:space="preserve"> </w:t>
      </w:r>
      <w:r>
        <w:t xml:space="preserve">distribution.</w:t>
      </w:r>
      <w:r>
        <w:t xml:space="preserve"> </w:t>
      </w:r>
    </w:p>
    <w:p>
      <w:pPr>
        <w:pStyle w:val="FigureWithCaption"/>
      </w:pPr>
      <w:r>
        <w:drawing>
          <wp:inline>
            <wp:extent cx="1639200" cy="604800"/>
            <wp:effectExtent b="0" l="0" r="0" t="0"/>
            <wp:docPr descr="Case 2. Wind speed vectors (modulus [m/s]). " title="" id="1" name="Picture"/>
            <a:graphic>
              <a:graphicData uri="http://schemas.openxmlformats.org/drawingml/2006/picture">
                <pic:pic>
                  <pic:nvPicPr>
                    <pic:cNvPr descr="figures/case1-velocity1/case1-velocity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60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i/>
        </w:rPr>
        <w:t xml:space="preserve">Case 2.</w:t>
      </w:r>
      <w:r>
        <w:t xml:space="preserve"> </w:t>
      </w:r>
      <w:r>
        <w:t xml:space="preserve">Wind speed vectors (modulus</w:t>
      </w:r>
      <w:r>
        <w:t xml:space="preserve"> </w:t>
      </w:r>
      <w:r>
        <w:t xml:space="preserve">[</w:t>
      </w:r>
      <w:r>
        <w:t xml:space="preserve">m/s</w:t>
      </w:r>
      <w:r>
        <w:t xml:space="preserve">]</w:t>
      </w:r>
      <w:r>
        <w:t xml:space="preserve">).</w:t>
      </w:r>
      <w:r>
        <w:t xml:space="preserve"> </w:t>
      </w:r>
    </w:p>
    <w:p>
      <w:pPr>
        <w:pStyle w:val="Heading1"/>
      </w:pPr>
      <w:bookmarkStart w:id="29" w:name="section"/>
      <w:bookmarkEnd w:id="29"/>
    </w:p>
    <w:p>
      <w:pPr>
        <w:pStyle w:val="Heading1"/>
      </w:pPr>
      <w:bookmarkStart w:id="30" w:name="analysis-and-discussion"/>
      <w:bookmarkEnd w:id="30"/>
      <w:r>
        <w:t xml:space="preserve">Analysis and Discussion</w:t>
      </w:r>
    </w:p>
    <w:p>
      <w:pPr>
        <w:pStyle w:val="FirstParagraph"/>
      </w:pPr>
      <w:r>
        <w:br w:type="textWrapping"/>
      </w:r>
      <w:r>
        <w:t xml:space="preserve">The obtained results are not the expected ones. Indeed a higher</w:t>
      </w:r>
      <w:r>
        <w:t xml:space="preserve"> </w:t>
      </w:r>
      <w:r>
        <w:t xml:space="preserve">difference was expected between the two cases. A higher variance and a</w:t>
      </w:r>
      <w:r>
        <w:t xml:space="preserve"> </w:t>
      </w:r>
      <w:r>
        <w:t xml:space="preserve">bigger fluctuation of the maximal position was awaited especially in</w:t>
      </w:r>
      <w:r>
        <w:t xml:space="preserve"> </w:t>
      </w:r>
      <w:r>
        <w:t xml:space="preserve">case two, where unstable thermal condition were used.</w:t>
      </w:r>
    </w:p>
    <w:p>
      <w:pPr>
        <w:pStyle w:val="BodyText"/>
      </w:pPr>
      <w:r>
        <w:t xml:space="preserve">In order to have some more quantitative values, the results were</w:t>
      </w:r>
      <w:r>
        <w:t xml:space="preserve"> </w:t>
      </w:r>
      <w:r>
        <w:t xml:space="preserve">analysed with the post-processing software of Fluent </w:t>
      </w:r>
      <w:r>
        <w:rPr>
          <w:i/>
        </w:rPr>
        <w:t xml:space="preserve">CFD-Post</w:t>
      </w:r>
      <w:r>
        <w:t xml:space="preserve">.</w:t>
      </w:r>
      <w:r>
        <w:t xml:space="preserve"> </w:t>
      </w:r>
      <w:r>
        <w:t xml:space="preserve">The CO2 mass fraction was evaluated on two vertical sections, placed at</w:t>
      </w:r>
      <w:r>
        <w:t xml:space="preserve"> </w:t>
      </w:r>
      <w:r>
        <w:t xml:space="preserve">1 and 10 m on the leeward side of the stack. That allowed to compare the</w:t>
      </w:r>
      <w:r>
        <w:t xml:space="preserve"> </w:t>
      </w:r>
      <w:r>
        <w:t xml:space="preserve">mass fraction profile of the two simulation with the one computed by</w:t>
      </w:r>
      <w:r>
        <w:t xml:space="preserve"> </w:t>
      </w:r>
      <w:r>
        <w:t xml:space="preserve">using the 2D advection-diffusion equation (eq.</w:t>
      </w:r>
      <w:r>
        <w:t xml:space="preserve"> </w:t>
      </w:r>
      <w:r>
        <w:t xml:space="preserve">???</w:t>
      </w:r>
      <w:r>
        <w:t xml:space="preserve">,</w:t>
      </w:r>
      <w:r>
        <w:t xml:space="preserve"> </w:t>
      </w:r>
      <w:r>
        <w:t xml:space="preserve">fig. </w:t>
      </w:r>
      <w:r>
        <w:t xml:space="preserve">???</w:t>
      </w:r>
      <w:r>
        <w:t xml:space="preserve">) and to determine the values showed</w:t>
      </w:r>
      <w:r>
        <w:t xml:space="preserve"> </w:t>
      </w:r>
      <w:r>
        <w:t xml:space="preserve">in figure </w:t>
      </w:r>
      <w:r>
        <w:t xml:space="preserve">???</w:t>
      </w:r>
      <w:r>
        <w:t xml:space="preserve">.</w:t>
      </w:r>
    </w:p>
    <w:p>
      <w:pPr>
        <w:pStyle w:val="FigureWithCaption"/>
      </w:pPr>
      <w:r>
        <w:drawing>
          <wp:inline>
            <wp:extent cx="1639200" cy="801600"/>
            <wp:effectExtent b="0" l="0" r="0" t="0"/>
            <wp:docPr descr="Theoretical and simulated CO2 repartition " title="" id="1" name="Picture"/>
            <a:graphic>
              <a:graphicData uri="http://schemas.openxmlformats.org/drawingml/2006/picture">
                <pic:pic>
                  <pic:nvPicPr>
                    <pic:cNvPr descr="figures/chart2/Repartition-CO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80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Theoretical and simulated CO2 repartition</w:t>
      </w:r>
      <w:r>
        <w:t xml:space="preserve"> </w:t>
      </w:r>
    </w:p>
    <w:p>
      <w:pPr>
        <w:pStyle w:val="FigureWithCaption"/>
      </w:pPr>
      <w:r>
        <w:drawing>
          <wp:inline>
            <wp:extent cx="1011599" cy="218400"/>
            <wp:effectExtent b="0" l="0" r="0" t="0"/>
            <wp:docPr descr="Table presenting the position and variance of the two simulations " title="" id="1" name="Picture"/>
            <a:graphic>
              <a:graphicData uri="http://schemas.openxmlformats.org/drawingml/2006/picture">
                <pic:pic>
                  <pic:nvPicPr>
                    <pic:cNvPr descr="figures/table/Capt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99" cy="218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Table presenting the position and variance of the two simulations</w:t>
      </w:r>
      <w:r>
        <w:t xml:space="preserve"> </w:t>
      </w:r>
    </w:p>
    <w:p>
      <w:pPr>
        <w:pStyle w:val="BodyText"/>
      </w:pPr>
      <w:r>
        <w:t xml:space="preserve">The CO2 mass fraction profiles (dashed lines in</w:t>
      </w:r>
      <w:r>
        <w:t xml:space="preserve"> </w:t>
      </w:r>
      <w:r>
        <w:t xml:space="preserve">figure </w:t>
      </w:r>
      <w:r>
        <w:t xml:space="preserve">???</w:t>
      </w:r>
      <w:r>
        <w:t xml:space="preserve">) computed by using the 2D</w:t>
      </w:r>
      <w:r>
        <w:t xml:space="preserve"> </w:t>
      </w:r>
      <w:r>
        <w:t xml:space="preserve">advection-diffusion equation, represent the same, but simplified case,</w:t>
      </w:r>
      <w:r>
        <w:t xml:space="preserve"> </w:t>
      </w:r>
      <w:r>
        <w:t xml:space="preserve">where no convection and plume rise is considered. The equation</w:t>
      </w:r>
      <w:r>
        <w:t xml:space="preserve"> </w:t>
      </w:r>
      <w:r>
        <w:t xml:space="preserve">(</w:t>
      </w:r>
      <w:r>
        <w:t xml:space="preserve">???</w:t>
      </w:r>
      <w:r>
        <w:t xml:space="preserve">) used for computing the reference</w:t>
      </w:r>
      <w:r>
        <w:t xml:space="preserve"> </w:t>
      </w:r>
      <w:r>
        <w:t xml:space="preserve">profile was parametrized with a turbulence intensity index</w:t>
      </w:r>
      <w:r>
        <w:t xml:space="preserve"> </w:t>
      </w:r>
      <w:r>
        <w:t xml:space="preserve">(</w:t>
      </w:r>
      <m:oMath>
        <m:sSub>
          <m:e>
            <m:r>
              <m:t>i</m:t>
            </m:r>
          </m:e>
          <m:sub>
            <m:r>
              <m:t>z</m:t>
            </m:r>
          </m:sub>
        </m:sSub>
      </m:oMath>
      <w:r>
        <w:t xml:space="preserve">) of 0.3, and a mass flow of 3.6 kg/s to best fit</w:t>
      </w:r>
      <w:r>
        <w:t xml:space="preserve"> </w:t>
      </w:r>
      <w:r>
        <w:t xml:space="preserve">with the simulations.    </w:t>
      </w:r>
    </w:p>
    <w:p>
      <w:pPr>
        <w:pStyle w:val="BodyText"/>
      </w:pPr>
      <w:r>
        <w:br w:type="textWrapping"/>
      </w:r>
      <w:r>
        <w:t xml:space="preserve">The highest difference between the theoretical and simulated</w:t>
      </w:r>
      <w:r>
        <w:t xml:space="preserve"> </w:t>
      </w:r>
      <w:r>
        <w:t xml:space="preserve">values (neglecting the plume rising)  can be observed</w:t>
      </w:r>
      <w:r>
        <w:t xml:space="preserve"> </w:t>
      </w:r>
      <w:r>
        <w:rPr>
          <w:i/>
        </w:rPr>
        <w:t xml:space="preserve">under the</w:t>
      </w:r>
      <w:r>
        <w:rPr>
          <w:i/>
        </w:rPr>
        <w:t xml:space="preserve"> </w:t>
      </w:r>
      <w:r>
        <w:rPr>
          <w:i/>
        </w:rPr>
        <w:t xml:space="preserve">plume</w:t>
      </w:r>
      <w:r>
        <w:t xml:space="preserve">. Indeed, the CO2 concentration levels are way larger in the</w:t>
      </w:r>
      <w:r>
        <w:t xml:space="preserve"> </w:t>
      </w:r>
      <w:r>
        <w:t xml:space="preserve">simulations. However, it can be explained observing the detail of the</w:t>
      </w:r>
      <w:r>
        <w:t xml:space="preserve"> </w:t>
      </w:r>
      <w:r>
        <w:t xml:space="preserve">wind vectors (fig. </w:t>
      </w:r>
      <w:r>
        <w:t xml:space="preserve">???</w:t>
      </w:r>
      <w:r>
        <w:t xml:space="preserve">). The flow is blocked</w:t>
      </w:r>
      <w:r>
        <w:t xml:space="preserve"> </w:t>
      </w:r>
      <w:r>
        <w:t xml:space="preserve">by the chimney, which considerably reduces the magnitude of the wind</w:t>
      </w:r>
      <w:r>
        <w:t xml:space="preserve"> </w:t>
      </w:r>
      <w:r>
        <w:t xml:space="preserve">force, and also creates a large recirculating zone where the CO2 gets</w:t>
      </w:r>
      <w:r>
        <w:t xml:space="preserve"> </w:t>
      </w:r>
      <w:r>
        <w:t xml:space="preserve">trapped in. These observations are not representative of the reality,</w:t>
      </w:r>
      <w:r>
        <w:t xml:space="preserve"> </w:t>
      </w:r>
      <w:r>
        <w:t xml:space="preserve">since the flow will circumvent the stack, keeping the wind profile</w:t>
      </w:r>
      <w:r>
        <w:t xml:space="preserve"> </w:t>
      </w:r>
      <w:r>
        <w:t xml:space="preserve">nearly unchanged.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901199" cy="490800"/>
            <wp:effectExtent b="0" l="0" r="0" t="0"/>
            <wp:docPr descr="Case 1. Detail of the wind speed vectors around the stack. " title="" id="1" name="Picture"/>
            <a:graphic>
              <a:graphicData uri="http://schemas.openxmlformats.org/drawingml/2006/picture">
                <pic:pic>
                  <pic:nvPicPr>
                    <pic:cNvPr descr="figures/case1-velocity2/case1-velocity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99" cy="490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i/>
        </w:rPr>
        <w:t xml:space="preserve">Case 1. </w:t>
      </w:r>
      <w:r>
        <w:t xml:space="preserve">Detail of the wind speed vectors around the stack.</w:t>
      </w:r>
      <w:r>
        <w:t xml:space="preserve"> </w:t>
      </w:r>
    </w:p>
    <w:p>
      <w:pPr>
        <w:pStyle w:val="BodyText"/>
      </w:pPr>
      <w:r>
        <w:t xml:space="preserve">Several methods could be employed to improve the simulations. To improve</w:t>
      </w:r>
      <w:r>
        <w:t xml:space="preserve"> </w:t>
      </w:r>
      <w:r>
        <w:t xml:space="preserve">the models accuracy, only the stack outlet could be modelled or the</w:t>
      </w:r>
      <w:r>
        <w:t xml:space="preserve"> </w:t>
      </w:r>
      <w:r>
        <w:t xml:space="preserve">simulation could be made in 3 dimensions, allowing the wind to</w:t>
      </w:r>
      <w:r>
        <w:t xml:space="preserve"> </w:t>
      </w:r>
      <w:r>
        <w:t xml:space="preserve">circumvent the stack. </w:t>
      </w:r>
    </w:p>
    <w:p>
      <w:pPr>
        <w:pStyle w:val="BodyText"/>
      </w:pPr>
      <w:r>
        <w:t xml:space="preserve">To increase the effect of the instability, modelling the radiation of</w:t>
      </w:r>
      <w:r>
        <w:t xml:space="preserve"> </w:t>
      </w:r>
      <w:r>
        <w:t xml:space="preserve">the sun on the ground could be an option. Indeed, according to</w:t>
      </w:r>
      <w:r>
        <w:t xml:space="preserve"> </w:t>
      </w:r>
      <w:r>
        <w:t xml:space="preserve">Pasquill’s (1962) stability categories (from  (Csanady 1973) ), a</w:t>
      </w:r>
      <w:r>
        <w:t xml:space="preserve"> </w:t>
      </w:r>
      <w:r>
        <w:t xml:space="preserve">strong radiation - compared to no radiation - increases the instability</w:t>
      </w:r>
      <w:r>
        <w:t xml:space="preserve"> </w:t>
      </w:r>
      <w:r>
        <w:t xml:space="preserve">of the flow. Therefore, changing the boundary condition of the ground</w:t>
      </w:r>
      <w:r>
        <w:t xml:space="preserve"> </w:t>
      </w:r>
      <w:r>
        <w:t xml:space="preserve">from constant temperature to a heat flux should increase the buoyancy</w:t>
      </w:r>
      <w:r>
        <w:t xml:space="preserve"> </w:t>
      </w:r>
      <w:r>
        <w:t xml:space="preserve">effects.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34" w:name="conclusion"/>
      <w:bookmarkEnd w:id="34"/>
      <w:r>
        <w:t xml:space="preserve">Conclusion</w:t>
      </w:r>
    </w:p>
    <w:p>
      <w:pPr>
        <w:pStyle w:val="FirstParagraph"/>
      </w:pPr>
      <w:r>
        <w:t xml:space="preserve">Out of these simulations, two main conclusions can be drawn. First, a</w:t>
      </w:r>
      <w:r>
        <w:t xml:space="preserve"> </w:t>
      </w:r>
      <w:r>
        <w:t xml:space="preserve">two dimensional model does not reflect the physical phenomenons with</w:t>
      </w:r>
      <w:r>
        <w:t xml:space="preserve"> </w:t>
      </w:r>
      <w:r>
        <w:t xml:space="preserve">complete accuracy when the solid stock is modelled. The stock completely</w:t>
      </w:r>
      <w:r>
        <w:t xml:space="preserve"> </w:t>
      </w:r>
      <w:r>
        <w:t xml:space="preserve">blocks the wind flow and also creates a recirculation zone. However,</w:t>
      </w:r>
      <w:r>
        <w:t xml:space="preserve"> </w:t>
      </w:r>
      <w:r>
        <w:t xml:space="preserve">only modelling the stock outlet or adding a third dimension should</w:t>
      </w:r>
      <w:r>
        <w:t xml:space="preserve"> </w:t>
      </w:r>
      <w:r>
        <w:t xml:space="preserve">increase the simulations validity. </w:t>
      </w:r>
    </w:p>
    <w:p>
      <w:pPr>
        <w:pStyle w:val="BodyText"/>
      </w:pPr>
      <w:r>
        <w:t xml:space="preserve">Second, no concentration difference could be observed between the stable</w:t>
      </w:r>
      <w:r>
        <w:t xml:space="preserve"> </w:t>
      </w:r>
      <w:r>
        <w:t xml:space="preserve">and unstable boundary condition. But including the solar irradiation in</w:t>
      </w:r>
      <w:r>
        <w:t xml:space="preserve"> </w:t>
      </w:r>
      <w:r>
        <w:t xml:space="preserve">the unstable case, could increase the instabilities of the flow.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35" w:name="references"/>
      <w:bookmarkEnd w:id="35"/>
      <w:r>
        <w:t xml:space="preserve">References</w:t>
      </w:r>
    </w:p>
    <w:p>
      <w:pPr>
        <w:pStyle w:val="FirstParagraph"/>
      </w:pPr>
      <w:r>
        <w:t xml:space="preserve">Jirka, Scott A. Socolofsky &amp; Gerhard H. 2005.</w:t>
      </w:r>
      <w:r>
        <w:t xml:space="preserve"> </w:t>
      </w:r>
      <w:r>
        <w:rPr>
          <w:i/>
        </w:rPr>
        <w:t xml:space="preserve">Special Topics in Mixing and Transport Processes in the Environment</w:t>
      </w:r>
      <w:r>
        <w:t xml:space="preserve">. Coastal and Ocean Engineering Division.</w:t>
      </w:r>
    </w:p>
    <w:p>
      <w:pPr>
        <w:pStyle w:val="BodyText"/>
      </w:pPr>
      <w:r>
        <w:t xml:space="preserve">Csanady, G. T. 1973.</w:t>
      </w:r>
      <w:r>
        <w:t xml:space="preserve"> </w:t>
      </w:r>
      <w:r>
        <w:rPr>
          <w:i/>
        </w:rPr>
        <w:t xml:space="preserve">Turbulent Diffusion in the Environment</w:t>
      </w:r>
      <w:r>
        <w:t xml:space="preserve">. Springer Netherlands. doi:10.1007/978-94-010-2527-0.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a06109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4e6cb05e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24" Target="media/rId24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ETP - Unstable 2D plume using Fluent</dc:title>
  <dc:creator>Rafael Graf; Andrea Caldirola</dc:creator>
  <dcterms:created xsi:type="dcterms:W3CDTF">2018-11-04T14:45:05Z</dcterms:created>
  <dcterms:modified xsi:type="dcterms:W3CDTF">2018-11-04T14:45:05Z</dcterms:modified>
</cp:coreProperties>
</file>