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  <Override PartName="/word/media/rId24.png" ContentType="image/png"/>
  <Override PartName="/word/media/rId23.png" ContentType="image/png"/>
  <Override PartName="/word/media/rId25.png" ContentType="image/png"/>
  <Override PartName="/word/media/rId28.png" ContentType="image/png"/>
  <Override PartName="/word/media/rId30.png" ContentType="image/png"/>
  <Override PartName="/word/media/rId2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Crystal</w:t>
      </w:r>
      <w:r>
        <w:t xml:space="preserve"> </w:t>
      </w:r>
      <w:r>
        <w:t xml:space="preserve">structure</w:t>
      </w:r>
      <w:r>
        <w:t xml:space="preserve"> </w:t>
      </w:r>
      <w:r>
        <w:t xml:space="preserve">of</w:t>
      </w:r>
      <w:r>
        <w:t xml:space="preserve"> </w:t>
      </w:r>
      <w:r>
        <w:t xml:space="preserve">(E)-2-(tert-butylamino)-4-(tert-butylimino)naphthalen-1(4H)-one</w:t>
      </w:r>
    </w:p>
    <w:p>
      <w:pPr>
        <w:pStyle w:val="Author"/>
      </w:pPr>
      <w:r>
        <w:t xml:space="preserve">Guy</w:t>
      </w:r>
      <w:r>
        <w:t xml:space="preserve"> </w:t>
      </w:r>
      <w:r>
        <w:t xml:space="preserve">Lamoureux</w:t>
      </w:r>
    </w:p>
    <w:p>
      <w:pPr>
        <w:pStyle w:val="Author"/>
      </w:pPr>
      <w:r>
        <w:t xml:space="preserve">Mónica</w:t>
      </w:r>
      <w:r>
        <w:t xml:space="preserve"> </w:t>
      </w:r>
      <w:r>
        <w:t xml:space="preserve">Alvarado</w:t>
      </w:r>
      <w:r>
        <w:t xml:space="preserve"> </w:t>
      </w:r>
      <w:r>
        <w:t xml:space="preserve">Rojas</w:t>
      </w:r>
    </w:p>
    <w:p>
      <w:pPr>
        <w:pStyle w:val="Author"/>
      </w:pPr>
      <w:r>
        <w:t xml:space="preserve">leslie.pineda</w:t>
      </w:r>
    </w:p>
    <w:p>
      <w:pPr>
        <w:pStyle w:val="FirstParagraph"/>
      </w:pPr>
      <w:r>
        <w:t xml:space="preserve">Guy Lamoureux,</w:t>
      </w:r>
      <w:r>
        <w:rPr>
          <w:vertAlign w:val="superscript"/>
        </w:rPr>
        <w:t xml:space="preserve">a</w:t>
      </w:r>
      <w:r>
        <w:t xml:space="preserve">* Mónica</w:t>
      </w:r>
      <w:r>
        <w:t xml:space="preserve"> </w:t>
      </w:r>
      <w:r>
        <w:t xml:space="preserve">Alvarado-Rojas,</w:t>
      </w:r>
      <w:r>
        <w:rPr>
          <w:vertAlign w:val="superscript"/>
        </w:rPr>
        <w:t xml:space="preserve">a</w:t>
      </w:r>
    </w:p>
    <w:p>
      <w:pPr>
        <w:pStyle w:val="BodyText"/>
      </w:pPr>
      <w:r>
        <w:rPr>
          <w:b/>
        </w:rPr>
        <w:t xml:space="preserve">a</w:t>
      </w:r>
      <w:r>
        <w:t xml:space="preserve"> </w:t>
      </w:r>
      <w:r>
        <w:t xml:space="preserve">Escuela de Química, Universidad de Costa Rica, 2060 San</w:t>
      </w:r>
      <w:r>
        <w:t xml:space="preserve"> </w:t>
      </w:r>
      <w:r>
        <w:t xml:space="preserve">Pedro, San José, Costa Rica</w:t>
      </w:r>
    </w:p>
    <w:p>
      <w:pPr>
        <w:pStyle w:val="BodyText"/>
      </w:pPr>
      <w:r>
        <w:t xml:space="preserve">*Correspondence e-mail: guy.lamoureux@ucr.ac.cr</w:t>
      </w:r>
    </w:p>
    <w:p>
      <w:pPr>
        <w:pStyle w:val="BodyText"/>
      </w:pPr>
      <w:r>
        <w:t xml:space="preserve">The title</w:t>
      </w:r>
      <w:r>
        <w:t xml:space="preserve"> </w:t>
      </w:r>
      <w:r>
        <w:t xml:space="preserve">compound, C</w:t>
      </w:r>
      <w:r>
        <w:rPr>
          <w:vertAlign w:val="subscript"/>
        </w:rPr>
        <w:t xml:space="preserve">18</w:t>
      </w:r>
      <w:r>
        <w:t xml:space="preserve">H</w:t>
      </w:r>
      <w:r>
        <w:rPr>
          <w:vertAlign w:val="subscript"/>
        </w:rPr>
        <w:t xml:space="preserve">24</w:t>
      </w:r>
      <w:r>
        <w:t xml:space="preserve">N</w:t>
      </w:r>
      <w:r>
        <w:rPr>
          <w:vertAlign w:val="subscript"/>
        </w:rPr>
        <w:t xml:space="preserve">2</w:t>
      </w:r>
      <w:r>
        <w:t xml:space="preserve">O, an</w:t>
      </w:r>
      <w:r>
        <w:t xml:space="preserve"> </w:t>
      </w:r>
      <w:r>
        <w:t xml:space="preserve">example of a naphthoquinone imine in a specific tautomeric form, was</w:t>
      </w:r>
      <w:r>
        <w:t xml:space="preserve"> </w:t>
      </w:r>
      <w:r>
        <w:t xml:space="preserve">determined at 100 K and has monoclinic (P21/c) symmetry. This structure</w:t>
      </w:r>
      <w:r>
        <w:t xml:space="preserve"> </w:t>
      </w:r>
      <w:r>
        <w:t xml:space="preserve">is stabilized by a intramolecular H-bond between the N-H and the</w:t>
      </w:r>
      <w:r>
        <w:t xml:space="preserve"> </w:t>
      </w:r>
      <w:r>
        <w:t xml:space="preserve">carbonyl and London attraction between the two </w:t>
      </w:r>
      <w:r>
        <w:rPr>
          <w:i/>
        </w:rPr>
        <w:t xml:space="preserve">tert</w:t>
      </w:r>
      <w:r>
        <w:t xml:space="preserve">-butyl groups.</w:t>
      </w:r>
      <w:r>
        <w:t xml:space="preserve"> </w:t>
      </w:r>
      <w:r>
        <w:t xml:space="preserve"> The imine C=N bond length at C4 is 1.291 (3) Å , which is shorter than</w:t>
      </w:r>
      <w:r>
        <w:t xml:space="preserve"> </w:t>
      </w:r>
      <w:r>
        <w:t xml:space="preserve">the enamine C—N bond length at C2  </w:t>
      </w:r>
      <w:r>
        <w:t xml:space="preserve">[</w:t>
      </w:r>
      <w:r>
        <w:t xml:space="preserve">1.353 (3) Å</w:t>
      </w:r>
      <w:r>
        <w:t xml:space="preserve"> </w:t>
      </w:r>
      <w:r>
        <w:t xml:space="preserve">]</w:t>
      </w:r>
      <w:r>
        <w:t xml:space="preserve">, indicating that</w:t>
      </w:r>
      <w:r>
        <w:t xml:space="preserve"> </w:t>
      </w:r>
      <w:r>
        <w:t xml:space="preserve">the tautomer shown is the correct structure in the solid state.</w:t>
      </w:r>
    </w:p>
    <w:p>
      <w:pPr>
        <w:pStyle w:val="Heading1"/>
      </w:pPr>
      <w:bookmarkStart w:id="21" w:name="chemical-context"/>
      <w:bookmarkEnd w:id="21"/>
      <w:r>
        <w:t xml:space="preserve">Chemical Context </w:t>
      </w:r>
    </w:p>
    <w:p>
      <w:pPr>
        <w:pStyle w:val="FirstParagraph"/>
      </w:pPr>
      <w:r>
        <w:t xml:space="preserve">Naphthoquinones (naphthalenediones) form an important part of some</w:t>
      </w:r>
      <w:r>
        <w:t xml:space="preserve"> </w:t>
      </w:r>
      <w:r>
        <w:t xml:space="preserve">pharmacophores in medicinal chemistry. During an exploration of</w:t>
      </w:r>
      <w:r>
        <w:t xml:space="preserve"> </w:t>
      </w:r>
      <w:r>
        <w:t xml:space="preserve">antimalarial drugs, Fieser indicated that aminoiminonaphthoquinones</w:t>
      </w:r>
      <w:r>
        <w:t xml:space="preserve"> </w:t>
      </w:r>
      <w:r>
        <w:t xml:space="preserve">(Fig. 1), although difficult to form, had interesting medicinal</w:t>
      </w:r>
      <w:r>
        <w:t xml:space="preserve"> </w:t>
      </w:r>
      <w:r>
        <w:t xml:space="preserve">properties. Bullock </w:t>
      </w:r>
      <w:r>
        <w:rPr>
          <w:i/>
        </w:rPr>
        <w:t xml:space="preserve">et al.</w:t>
      </w:r>
      <w:r>
        <w:t xml:space="preserve"> </w:t>
      </w:r>
      <w:r>
        <w:t xml:space="preserve">further investigated these compounds</w:t>
      </w:r>
      <w:r>
        <w:t xml:space="preserve"> </w:t>
      </w:r>
      <w:r>
        <w:t xml:space="preserve">as antiprotozoal agents and provided more efficient ways to synthesize a</w:t>
      </w:r>
      <w:r>
        <w:t xml:space="preserve"> </w:t>
      </w:r>
      <w:r>
        <w:t xml:space="preserve">series of these compounds.  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2088746" cy="1874672"/>
            <wp:effectExtent b="0" l="0" r="0" t="0"/>
            <wp:docPr descr="General structure of (E)-2-amino-4-iminonaphthoquinone (R=alkyl group) " title="" id="1" name="Picture"/>
            <a:graphic>
              <a:graphicData uri="http://schemas.openxmlformats.org/drawingml/2006/picture">
                <pic:pic>
                  <pic:nvPicPr>
                    <pic:cNvPr descr="figures/1Fig-2DStructGen/1Fig-2DStructGen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746" cy="18746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General structure of (E)-2-amino-4-iminonaphthoquinone (R=alkyl group)</w:t>
      </w:r>
      <w:r>
        <w:t xml:space="preserve"> </w:t>
      </w:r>
    </w:p>
    <w:p>
      <w:pPr>
        <w:pStyle w:val="BodyText"/>
      </w:pPr>
      <w:r>
        <w:t xml:space="preserve">Similar structures have been prepared naturally as a hydrolytically</w:t>
      </w:r>
      <w:r>
        <w:t xml:space="preserve"> </w:t>
      </w:r>
      <w:r>
        <w:t xml:space="preserve">stable pigments. Recently, several natural products containing a rigid</w:t>
      </w:r>
      <w:r>
        <w:t xml:space="preserve"> </w:t>
      </w:r>
      <w:r>
        <w:t xml:space="preserve">aminoiminoquinone structure have been isolated and identified:</w:t>
      </w:r>
      <w:r>
        <w:t xml:space="preserve"> </w:t>
      </w:r>
      <w:r>
        <w:t xml:space="preserve">macrophilone A, the makaluvamine, isobatzelline, prianosin, epinardin</w:t>
      </w:r>
      <w:r>
        <w:t xml:space="preserve"> </w:t>
      </w:r>
      <w:r>
        <w:t xml:space="preserve"> and discorhabdin  families, and waykayin. These alkaloid secondary</w:t>
      </w:r>
      <w:r>
        <w:t xml:space="preserve"> </w:t>
      </w:r>
      <w:r>
        <w:t xml:space="preserve">metabolites from marine organisms were found to possess cytotoxic</w:t>
      </w:r>
      <w:r>
        <w:t xml:space="preserve"> </w:t>
      </w:r>
      <w:r>
        <w:t xml:space="preserve">antitumor properties. It is reported that the aminoiminoquinone system</w:t>
      </w:r>
      <w:r>
        <w:t xml:space="preserve"> </w:t>
      </w:r>
      <w:r>
        <w:t xml:space="preserve">may contribute to the cytotoxic activity. </w:t>
      </w:r>
    </w:p>
    <w:p>
      <w:pPr>
        <w:pStyle w:val="BodyText"/>
      </w:pPr>
      <w:r>
        <w:t xml:space="preserve">Although the structure depicted in Figure 1 was thought to be the most</w:t>
      </w:r>
      <w:r>
        <w:t xml:space="preserve"> </w:t>
      </w:r>
      <w:r>
        <w:t xml:space="preserve">stable, there was evidence for multiple equilibria of these compounds in</w:t>
      </w:r>
      <w:r>
        <w:t xml:space="preserve"> </w:t>
      </w:r>
      <w:r>
        <w:t xml:space="preserve">solution (Fig. 2).  For example, in the case of the methyl derivative (R</w:t>
      </w:r>
      <w:r>
        <w:t xml:space="preserve"> </w:t>
      </w:r>
      <w:r>
        <w:t xml:space="preserve">= Me), NMR evidence at room temperature shows a mixture of tautomers.</w:t>
      </w:r>
      <w:r>
        <w:t xml:space="preserve"> </w:t>
      </w:r>
      <w:r>
        <w:t xml:space="preserve">This equilibrium, especially the possibility of tautomers, is important</w:t>
      </w:r>
      <w:r>
        <w:t xml:space="preserve"> </w:t>
      </w:r>
      <w:r>
        <w:t xml:space="preserve">since the biological activity of these compounds depends on which</w:t>
      </w:r>
      <w:r>
        <w:t xml:space="preserve"> </w:t>
      </w:r>
      <w:r>
        <w:t xml:space="preserve">tautomer is more stable. 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FigureWithCaption"/>
      </w:pPr>
      <w:r>
        <w:drawing>
          <wp:inline>
            <wp:extent cx="5334000" cy="3761783"/>
            <wp:effectExtent b="0" l="0" r="0" t="0"/>
            <wp:docPr descr="Possible equilibrium forms of the aminoimino structure. " title="" id="1" name="Picture"/>
            <a:graphic>
              <a:graphicData uri="http://schemas.openxmlformats.org/drawingml/2006/picture">
                <pic:pic>
                  <pic:nvPicPr>
                    <pic:cNvPr descr="figures/2Fig-Eqm/2Fig-Eqm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617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Possible equilibrium forms of the aminoimino structure.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We predicted that this type of compound would not form with bulky R</w:t>
      </w:r>
      <w:r>
        <w:t xml:space="preserve"> </w:t>
      </w:r>
      <w:r>
        <w:t xml:space="preserve">groups.</w:t>
      </w:r>
      <w:r>
        <w:t xml:space="preserve"> </w:t>
      </w:r>
      <w:r>
        <w:t xml:space="preserve">(</w:t>
      </w:r>
      <w:r>
        <w:rPr>
          <w:i/>
        </w:rPr>
        <w:t xml:space="preserve">E</w:t>
      </w:r>
      <w:r>
        <w:t xml:space="preserve">)-2-(</w:t>
      </w:r>
      <w:r>
        <w:rPr>
          <w:i/>
        </w:rPr>
        <w:t xml:space="preserve">tert</w:t>
      </w:r>
      <w:r>
        <w:t xml:space="preserve">-butylamino)-4-(</w:t>
      </w:r>
      <w:r>
        <w:rPr>
          <w:i/>
        </w:rPr>
        <w:t xml:space="preserve">tert</w:t>
      </w:r>
      <w:r>
        <w:t xml:space="preserve">-butylimino)naphthalen-1(4</w:t>
      </w:r>
      <w:r>
        <w:rPr>
          <w:i/>
        </w:rPr>
        <w:t xml:space="preserve">H</w:t>
      </w:r>
      <w:r>
        <w:t xml:space="preserve">)-one</w:t>
      </w:r>
      <w:r>
        <w:t xml:space="preserve"> </w:t>
      </w:r>
      <w:r>
        <w:t xml:space="preserve">(I) (Fig. 3) is the first compound of this type with a tertiary alkyl</w:t>
      </w:r>
      <w:r>
        <w:t xml:space="preserve"> </w:t>
      </w:r>
      <w:r>
        <w:t xml:space="preserve">group.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2464904" cy="2208016"/>
            <wp:effectExtent b="0" l="0" r="0" t="0"/>
            <wp:docPr descr="2D Structure of (E)-2-(tert-butylamino)-4-(tert-butylimino)naphthalen-1(4H)-one (I) " title="" id="1" name="Picture"/>
            <a:graphic>
              <a:graphicData uri="http://schemas.openxmlformats.org/drawingml/2006/picture">
                <pic:pic>
                  <pic:nvPicPr>
                    <pic:cNvPr descr="figures/1Fig-2dStruct/1Fig-2dStruct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904" cy="22080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2D Structure of</w:t>
      </w:r>
      <w:r>
        <w:t xml:space="preserve"> </w:t>
      </w:r>
      <w:r>
        <w:t xml:space="preserve">(</w:t>
      </w:r>
      <w:r>
        <w:rPr>
          <w:i/>
        </w:rPr>
        <w:t xml:space="preserve">E</w:t>
      </w:r>
      <w:r>
        <w:t xml:space="preserve">)-2-(</w:t>
      </w:r>
      <w:r>
        <w:rPr>
          <w:i/>
        </w:rPr>
        <w:t xml:space="preserve">tert</w:t>
      </w:r>
      <w:r>
        <w:t xml:space="preserve">-butylamino)-4-(</w:t>
      </w:r>
      <w:r>
        <w:rPr>
          <w:i/>
        </w:rPr>
        <w:t xml:space="preserve">tert</w:t>
      </w:r>
      <w:r>
        <w:t xml:space="preserve">-butylimino)naphthalen-1(4</w:t>
      </w:r>
      <w:r>
        <w:rPr>
          <w:i/>
        </w:rPr>
        <w:t xml:space="preserve">H</w:t>
      </w:r>
      <w:r>
        <w:t xml:space="preserve">)-one</w:t>
      </w:r>
      <w:r>
        <w:t xml:space="preserve"> </w:t>
      </w:r>
      <w:r>
        <w:t xml:space="preserve">(I)</w:t>
      </w:r>
      <w:r>
        <w:t xml:space="preserve"> </w:t>
      </w:r>
    </w:p>
    <w:p>
      <w:pPr>
        <w:pStyle w:val="BodyText"/>
      </w:pPr>
      <w:r>
        <w:t xml:space="preserve">As part of our work on the synthesis and properties of naphthoquinones,</w:t>
      </w:r>
      <w:r>
        <w:t xml:space="preserve"> </w:t>
      </w:r>
      <w:r>
        <w:t xml:space="preserve">we isolated compound (I) as a secondary product. To confirm the identity</w:t>
      </w:r>
      <w:r>
        <w:t xml:space="preserve"> </w:t>
      </w:r>
      <w:r>
        <w:t xml:space="preserve">and form of this compound, we report the crystal structure</w:t>
      </w:r>
      <w:r>
        <w:t xml:space="preserve"> </w:t>
      </w:r>
      <w:r>
        <w:t xml:space="preserve">of (</w:t>
      </w:r>
      <w:r>
        <w:rPr>
          <w:i/>
        </w:rPr>
        <w:t xml:space="preserve">E</w:t>
      </w:r>
      <w:r>
        <w:t xml:space="preserve">)-2-(</w:t>
      </w:r>
      <w:r>
        <w:rPr>
          <w:i/>
        </w:rPr>
        <w:t xml:space="preserve">tert</w:t>
      </w:r>
      <w:r>
        <w:t xml:space="preserve">-butylamino)-4-(</w:t>
      </w:r>
      <w:r>
        <w:rPr>
          <w:i/>
        </w:rPr>
        <w:t xml:space="preserve">tert-</w:t>
      </w:r>
      <w:r>
        <w:t xml:space="preserve">butylimino)naphthalen-1(4</w:t>
      </w:r>
      <w:r>
        <w:rPr>
          <w:i/>
        </w:rPr>
        <w:t xml:space="preserve">H</w:t>
      </w:r>
      <w:r>
        <w:t xml:space="preserve">)-one</w:t>
      </w:r>
      <w:r>
        <w:t xml:space="preserve"> </w:t>
      </w:r>
      <w:r>
        <w:t xml:space="preserve">(Fig. 4).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1458758" cy="1253859"/>
            <wp:effectExtent b="0" l="0" r="0" t="0"/>
            <wp:docPr descr="The molecular structure of compound (I), showing the displacement ellipsoids drawn at the 50% probability level. The intramolecular hydrogen bond is shown by the dashed bond. " title="" id="1" name="Picture"/>
            <a:graphic>
              <a:graphicData uri="http://schemas.openxmlformats.org/drawingml/2006/picture">
                <pic:pic>
                  <pic:nvPicPr>
                    <pic:cNvPr descr="figures/4Fig-3DEllips/4Fig-Ellips+Hbond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758" cy="12538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The molecular structure of compound (I), showing the displacement</w:t>
      </w:r>
      <w:r>
        <w:t xml:space="preserve"> </w:t>
      </w:r>
      <w:r>
        <w:t xml:space="preserve">ellipsoids drawn at the 50% probability level. The intramolecular</w:t>
      </w:r>
      <w:r>
        <w:t xml:space="preserve"> </w:t>
      </w:r>
      <w:r>
        <w:t xml:space="preserve">hydrogen bond is shown by the dashed bond.</w:t>
      </w:r>
      <w:r>
        <w:t xml:space="preserve"> 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6" w:name="structural-commentary"/>
      <w:bookmarkEnd w:id="26"/>
      <w:r>
        <w:t xml:space="preserve">Structural commentary</w:t>
      </w:r>
    </w:p>
    <w:p>
      <w:pPr>
        <w:pStyle w:val="FirstParagraph"/>
      </w:pPr>
      <w:r>
        <w:t xml:space="preserve">Compound (I) possesses an intramolecular hydrogen bond between the N-H</w:t>
      </w:r>
      <w:r>
        <w:t xml:space="preserve"> </w:t>
      </w:r>
      <w:r>
        <w:t xml:space="preserve">on C2 and the carbonyl at C1 (Table 1). This H-bond can more easily be</w:t>
      </w:r>
      <w:r>
        <w:t xml:space="preserve"> </w:t>
      </w:r>
      <w:r>
        <w:t xml:space="preserve">seen in the space-filling model of Compound (I) (Fig. 5). The</w:t>
      </w:r>
      <w:r>
        <w:t xml:space="preserve"> </w:t>
      </w:r>
      <w:r>
        <w:t xml:space="preserve">intramolecular interaction forms a 5-membered ring with an angle between</w:t>
      </w:r>
      <w:r>
        <w:t xml:space="preserve"> </w:t>
      </w:r>
      <w:r>
        <w:t xml:space="preserve">the donor N-H and the C=O of 109 (2)°. The C2-N-H bond angle</w:t>
      </w:r>
      <w:r>
        <w:t xml:space="preserve"> </w:t>
      </w:r>
      <w:r>
        <w:t xml:space="preserve">[</w:t>
      </w:r>
      <w:r>
        <w:t xml:space="preserve">115</w:t>
      </w:r>
      <w:r>
        <w:t xml:space="preserve"> </w:t>
      </w:r>
      <w:r>
        <w:t xml:space="preserve">(2)°</w:t>
      </w:r>
      <w:r>
        <w:t xml:space="preserve">]</w:t>
      </w:r>
      <w:r>
        <w:t xml:space="preserve"> </w:t>
      </w:r>
      <w:r>
        <w:t xml:space="preserve">is biased toward the carbonyl. The distance between the donor H</w:t>
      </w:r>
      <w:r>
        <w:t xml:space="preserve"> </w:t>
      </w:r>
      <w:r>
        <w:t xml:space="preserve">and the acceptor carbonyl oxygen is 2.20 (2) Å, shorter than expected</w:t>
      </w:r>
      <w:r>
        <w:t xml:space="preserve"> </w:t>
      </w:r>
      <w:r>
        <w:t xml:space="preserve">due to the bulkiness of the </w:t>
      </w:r>
      <w:r>
        <w:rPr>
          <w:i/>
        </w:rPr>
        <w:t xml:space="preserve">tert</w:t>
      </w:r>
      <w:r>
        <w:t xml:space="preserve">-butyl group (</w:t>
      </w:r>
      <w:r>
        <w:rPr>
          <w:i/>
        </w:rPr>
        <w:t xml:space="preserve">vide infra</w:t>
      </w:r>
      <w:r>
        <w:t xml:space="preserve">).</w:t>
      </w:r>
    </w:p>
    <w:p>
      <w:pPr>
        <w:pStyle w:val="TableCaption"/>
      </w:pPr>
      <w:r>
        <w:t xml:space="preserve">Hydrogen-bond geometry (Å, ° ).</w:t>
      </w:r>
      <w:r>
        <w:t xml:space="preserve"> </w:t>
      </w:r>
    </w:p>
    <w:tbl>
      <w:tblPr>
        <w:tblStyle w:val="TableNormal"/>
        <w:tblW w:type="pct" w:w="0.0"/>
        <w:tblLook/>
        <w:tblCaption w:val="Hydrogen-bond geometry (Å, ° ). "/>
      </w:tblPr>
      <w:tblGrid/>
      <w:tr>
        <w:tc>
          <w:p>
            <w:pPr>
              <w:pStyle w:val="Compact"/>
              <w:jc w:val="center"/>
            </w:pPr>
            <w:r>
              <w:rPr>
                <w:i/>
              </w:rPr>
              <w:t xml:space="preserve">D</w:t>
            </w:r>
            <w:r>
              <w:t xml:space="preserve">–H•••</w:t>
            </w:r>
            <w:r>
              <w:rPr>
                <w:i/>
              </w:rPr>
              <w:t xml:space="preserve">A</w:t>
            </w:r>
          </w:p>
        </w:tc>
        <w:tc>
          <w:p>
            <w:pPr>
              <w:pStyle w:val="Compact"/>
              <w:jc w:val="center"/>
            </w:pPr>
            <w:r>
              <w:t xml:space="preserve">d</w:t>
            </w:r>
            <w:r>
              <w:t xml:space="preserve"> </w:t>
            </w:r>
            <w:r>
              <w:rPr>
                <w:i/>
              </w:rPr>
              <w:t xml:space="preserve">D</w:t>
            </w:r>
            <w:r>
              <w:t xml:space="preserve">–H</w:t>
            </w:r>
          </w:p>
        </w:tc>
        <w:tc>
          <w:p>
            <w:pPr>
              <w:pStyle w:val="Compact"/>
              <w:jc w:val="center"/>
            </w:pPr>
            <w:r>
              <w:t xml:space="preserve">d H•••</w:t>
            </w:r>
            <w:r>
              <w:rPr>
                <w:i/>
              </w:rPr>
              <w:t xml:space="preserve">A</w:t>
            </w:r>
          </w:p>
        </w:tc>
        <w:tc>
          <w:p>
            <w:pPr>
              <w:pStyle w:val="Compact"/>
              <w:jc w:val="center"/>
            </w:pPr>
            <w:r>
              <w:t xml:space="preserve">d</w:t>
            </w:r>
            <w:r>
              <w:t xml:space="preserve"> </w:t>
            </w:r>
            <w:r>
              <w:rPr>
                <w:i/>
              </w:rPr>
              <w:t xml:space="preserve">D</w:t>
            </w:r>
            <w:r>
              <w:t xml:space="preserve">•••</w:t>
            </w:r>
            <w:r>
              <w:rPr>
                <w:i/>
              </w:rPr>
              <w:t xml:space="preserve">A</w:t>
            </w:r>
          </w:p>
        </w:tc>
        <w:tc>
          <w:p>
            <w:pPr>
              <w:pStyle w:val="Compact"/>
              <w:jc w:val="center"/>
            </w:pPr>
            <w:r>
              <w:t xml:space="preserve">∠</w:t>
            </w:r>
            <w:r>
              <w:t xml:space="preserve"> </w:t>
            </w:r>
            <w:r>
              <w:rPr>
                <w:i/>
              </w:rPr>
              <w:t xml:space="preserve">D</w:t>
            </w:r>
            <w:r>
              <w:t xml:space="preserve">–H•••</w:t>
            </w:r>
            <w:r>
              <w:rPr>
                <w:i/>
              </w:rPr>
              <w:t xml:space="preserve">A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N2–H</w:t>
            </w:r>
            <w:r>
              <w:rPr>
                <w:i/>
              </w:rPr>
              <w:t xml:space="preserve">N2</w:t>
            </w:r>
            <w:r>
              <w:t xml:space="preserve">•••O1</w:t>
            </w:r>
          </w:p>
        </w:tc>
        <w:tc>
          <w:p>
            <w:pPr>
              <w:pStyle w:val="Compact"/>
              <w:jc w:val="center"/>
            </w:pPr>
            <w:r>
              <w:t xml:space="preserve">0.88 (2)</w:t>
            </w:r>
          </w:p>
        </w:tc>
        <w:tc>
          <w:p>
            <w:pPr>
              <w:pStyle w:val="Compact"/>
              <w:jc w:val="center"/>
            </w:pPr>
            <w:r>
              <w:t xml:space="preserve">2.2 (2)</w:t>
            </w:r>
          </w:p>
        </w:tc>
        <w:tc>
          <w:p>
            <w:pPr>
              <w:pStyle w:val="Compact"/>
              <w:jc w:val="center"/>
            </w:pPr>
            <w:r>
              <w:t xml:space="preserve">2.63 (1)</w:t>
            </w:r>
          </w:p>
        </w:tc>
        <w:tc>
          <w:p>
            <w:pPr>
              <w:pStyle w:val="Compact"/>
              <w:jc w:val="center"/>
            </w:pPr>
            <w:r>
              <w:t xml:space="preserve">109 (2)</w:t>
            </w:r>
          </w:p>
        </w:tc>
      </w:tr>
    </w:tbl>
    <w:p>
      <w:pPr>
        <w:pStyle w:val="FigureWithCaption"/>
      </w:pPr>
      <w:r>
        <w:drawing>
          <wp:inline>
            <wp:extent cx="1354779" cy="1180462"/>
            <wp:effectExtent b="0" l="0" r="0" t="0"/>
            <wp:docPr descr="Space-filling structure of (E)-2-(tert-butylamino)-4-(tert-butylimino)naphthalen-1(4H)-one (I) " title="" id="1" name="Picture"/>
            <a:graphic>
              <a:graphicData uri="http://schemas.openxmlformats.org/drawingml/2006/picture">
                <pic:pic>
                  <pic:nvPicPr>
                    <pic:cNvPr descr="figures/MAR37-3DSpaceFill/MAR37-3DSpaceFi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779" cy="11804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Space-filling structure of</w:t>
      </w:r>
      <w:r>
        <w:t xml:space="preserve"> </w:t>
      </w:r>
      <w:r>
        <w:t xml:space="preserve">(</w:t>
      </w:r>
      <w:r>
        <w:rPr>
          <w:i/>
        </w:rPr>
        <w:t xml:space="preserve">E</w:t>
      </w:r>
      <w:r>
        <w:t xml:space="preserve">)-2-(</w:t>
      </w:r>
      <w:r>
        <w:rPr>
          <w:i/>
        </w:rPr>
        <w:t xml:space="preserve">tert</w:t>
      </w:r>
      <w:r>
        <w:t xml:space="preserve">-butylamino)-4-(</w:t>
      </w:r>
      <w:r>
        <w:rPr>
          <w:i/>
        </w:rPr>
        <w:t xml:space="preserve">tert</w:t>
      </w:r>
      <w:r>
        <w:t xml:space="preserve">-butylimino)naphthalen-1(4</w:t>
      </w:r>
      <w:r>
        <w:rPr>
          <w:i/>
        </w:rPr>
        <w:t xml:space="preserve">H</w:t>
      </w:r>
      <w:r>
        <w:t xml:space="preserve">)-one</w:t>
      </w:r>
      <w:r>
        <w:t xml:space="preserve"> </w:t>
      </w:r>
      <w:r>
        <w:t xml:space="preserve">(I)</w:t>
      </w:r>
      <w:r>
        <w:t xml:space="preserve"> </w:t>
      </w:r>
    </w:p>
    <w:p>
      <w:pPr>
        <w:pStyle w:val="BodyText"/>
      </w:pPr>
      <w:r>
        <w:t xml:space="preserve">These </w:t>
      </w:r>
      <w:r>
        <w:rPr>
          <w:i/>
        </w:rPr>
        <w:t xml:space="preserve">tert</w:t>
      </w:r>
      <w:r>
        <w:t xml:space="preserve">-butyl groups also shield the nitrogens and provide a</w:t>
      </w:r>
      <w:r>
        <w:t xml:space="preserve"> </w:t>
      </w:r>
      <w:r>
        <w:t xml:space="preserve">hydrophobic environment on one side of the quinone. As shown in Figure</w:t>
      </w:r>
      <w:r>
        <w:t xml:space="preserve"> </w:t>
      </w:r>
      <w:r>
        <w:t xml:space="preserve">6, the carbons of the </w:t>
      </w:r>
      <w:r>
        <w:rPr>
          <w:i/>
        </w:rPr>
        <w:t xml:space="preserve">tert</w:t>
      </w:r>
      <w:r>
        <w:t xml:space="preserve">-butyl groups are between 4.228 (4) and</w:t>
      </w:r>
      <w:r>
        <w:t xml:space="preserve"> </w:t>
      </w:r>
      <w:r>
        <w:t xml:space="preserve">4.825 (4) Å, which brings them within distance of London attraction. 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1526038" cy="1259975"/>
            <wp:effectExtent b="0" l="0" r="0" t="0"/>
            <wp:docPr descr="Side view of space-filling structure of compound (I) " title="" id="1" name="Picture"/>
            <a:graphic>
              <a:graphicData uri="http://schemas.openxmlformats.org/drawingml/2006/picture">
                <pic:pic>
                  <pic:nvPicPr>
                    <pic:cNvPr descr="figures/5Fig-SpaceFillSide/6Fig-SideView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038" cy="12599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Side view of space-filling structure of compound (I)</w:t>
      </w:r>
      <w:r>
        <w:t xml:space="preserve"> </w:t>
      </w:r>
    </w:p>
    <w:p>
      <w:pPr>
        <w:pStyle w:val="BodyText"/>
      </w:pPr>
      <w:r>
        <w:t xml:space="preserve">The imine C=N bond length at C4 is 1.291 (3) Å , which is shorter than</w:t>
      </w:r>
      <w:r>
        <w:t xml:space="preserve"> </w:t>
      </w:r>
      <w:r>
        <w:t xml:space="preserve">the enamine C—N bond length at C2  </w:t>
      </w:r>
      <w:r>
        <w:t xml:space="preserve">[</w:t>
      </w:r>
      <w:r>
        <w:t xml:space="preserve">1.353 (3) Å</w:t>
      </w:r>
      <w:r>
        <w:t xml:space="preserve"> </w:t>
      </w:r>
      <w:r>
        <w:t xml:space="preserve">]</w:t>
      </w:r>
      <w:r>
        <w:t xml:space="preserve"> </w:t>
      </w:r>
      <w:r>
        <w:t xml:space="preserve">reflecting the</w:t>
      </w:r>
      <w:r>
        <w:t xml:space="preserve"> </w:t>
      </w:r>
      <w:r>
        <w:t xml:space="preserve">greater double bond character at C4. The distance between the enamine</w:t>
      </w:r>
      <w:r>
        <w:t xml:space="preserve"> </w:t>
      </w:r>
      <w:r>
        <w:t xml:space="preserve">N/</w:t>
      </w:r>
      <w:r>
        <w:rPr>
          <w:i/>
        </w:rPr>
        <w:t xml:space="preserve">t</w:t>
      </w:r>
      <w:r>
        <w:t xml:space="preserve">-butyl C</w:t>
      </w:r>
      <w:r>
        <w:t xml:space="preserve"> </w:t>
      </w:r>
      <w:r>
        <w:t xml:space="preserve">[</w:t>
      </w:r>
      <w:r>
        <w:t xml:space="preserve">1.475 (4) Å</w:t>
      </w:r>
      <w:r>
        <w:t xml:space="preserve">]</w:t>
      </w:r>
      <w:r>
        <w:t xml:space="preserve"> </w:t>
      </w:r>
      <w:r>
        <w:t xml:space="preserve">is shorter than the imino</w:t>
      </w:r>
      <w:r>
        <w:t xml:space="preserve"> </w:t>
      </w:r>
      <w:r>
        <w:t xml:space="preserve">N/</w:t>
      </w:r>
      <w:r>
        <w:rPr>
          <w:i/>
        </w:rPr>
        <w:t xml:space="preserve">t</w:t>
      </w:r>
      <w:r>
        <w:t xml:space="preserve">-butyl C</w:t>
      </w:r>
      <w:r>
        <w:t xml:space="preserve"> </w:t>
      </w:r>
      <w:r>
        <w:t xml:space="preserve">[</w:t>
      </w:r>
      <w:r>
        <w:t xml:space="preserve">1.485 (3) Å</w:t>
      </w:r>
      <w:r>
        <w:t xml:space="preserve">]</w:t>
      </w:r>
      <w:r>
        <w:t xml:space="preserve"> </w:t>
      </w:r>
      <w:r>
        <w:t xml:space="preserve">due to steric compression at the</w:t>
      </w:r>
      <w:r>
        <w:t xml:space="preserve"> </w:t>
      </w:r>
      <w:r>
        <w:t xml:space="preserve">imine.  However, the bond angles around the two nitrogens</w:t>
      </w:r>
      <w:r>
        <w:t xml:space="preserve"> </w:t>
      </w:r>
      <w:r>
        <w:t xml:space="preserve">[</w:t>
      </w:r>
      <w:r>
        <w:t xml:space="preserve">imine</w:t>
      </w:r>
      <w:r>
        <w:t xml:space="preserve"> </w:t>
      </w:r>
      <w:r>
        <w:t xml:space="preserve">C4-N-C(</w:t>
      </w:r>
      <w:r>
        <w:rPr>
          <w:i/>
        </w:rPr>
        <w:t xml:space="preserve">tert</w:t>
      </w:r>
      <w:r>
        <w:t xml:space="preserve">-butyl) = 124.1 (2)° versus enamine</w:t>
      </w:r>
      <w:r>
        <w:t xml:space="preserve"> </w:t>
      </w:r>
      <w:r>
        <w:t xml:space="preserve">C2-N-C(</w:t>
      </w:r>
      <w:r>
        <w:rPr>
          <w:i/>
        </w:rPr>
        <w:t xml:space="preserve">tert</w:t>
      </w:r>
      <w:r>
        <w:t xml:space="preserve">-butyl) = 129.2 (2)°</w:t>
      </w:r>
      <w:r>
        <w:t xml:space="preserve">]</w:t>
      </w:r>
      <w:r>
        <w:t xml:space="preserve"> </w:t>
      </w:r>
      <w:r>
        <w:t xml:space="preserve">are very similar due to the</w:t>
      </w:r>
      <w:r>
        <w:t xml:space="preserve"> </w:t>
      </w:r>
      <w:r>
        <w:t xml:space="preserve">delocalization of pi electrons between the two nitrogens. This system</w:t>
      </w:r>
      <w:r>
        <w:t xml:space="preserve"> </w:t>
      </w:r>
      <w:r>
        <w:t xml:space="preserve">can be considered to be a type of vinylogous amidine, with both</w:t>
      </w:r>
      <w:r>
        <w:t xml:space="preserve"> </w:t>
      </w:r>
      <w:r>
        <w:t xml:space="preserve">nitrogens as trigonal planar. The aromatic ring is planar, as expected,</w:t>
      </w:r>
      <w:r>
        <w:t xml:space="preserve"> </w:t>
      </w:r>
      <w:r>
        <w:t xml:space="preserve">and has internal bond angles that range from 118.6 (2)° to 120.6 (2)°.</w:t>
      </w:r>
      <w:r>
        <w:t xml:space="preserve"> </w:t>
      </w:r>
      <w:r>
        <w:t xml:space="preserve">However, the quinone system is slightly non-planar, with the</w:t>
      </w:r>
      <w:r>
        <w:t xml:space="preserve"> </w:t>
      </w:r>
      <w:r>
        <w:t xml:space="preserve">C3-C4(imine)-C4a angle of 116.9 (2)° showing the greatest deviation from</w:t>
      </w:r>
      <w:r>
        <w:t xml:space="preserve"> </w:t>
      </w:r>
      <w:r>
        <w:t xml:space="preserve">the ideal 120°. 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Heading1"/>
      </w:pPr>
      <w:bookmarkStart w:id="29" w:name="supramolecular-features"/>
      <w:bookmarkEnd w:id="29"/>
      <w:r>
        <w:t xml:space="preserve">Supramolecular features</w:t>
      </w:r>
    </w:p>
    <w:p>
      <w:pPr>
        <w:pStyle w:val="FirstParagraph"/>
      </w:pPr>
      <w:r>
        <w:t xml:space="preserve">In the crystal structure of (I) (Fig. 7), the center of the unit cell</w:t>
      </w:r>
      <w:r>
        <w:t xml:space="preserve"> </w:t>
      </w:r>
      <w:r>
        <w:t xml:space="preserve">contains the </w:t>
      </w:r>
      <w:r>
        <w:rPr>
          <w:i/>
        </w:rPr>
        <w:t xml:space="preserve">tert</w:t>
      </w:r>
      <w:r>
        <w:t xml:space="preserve">-butyl groups. There are no intermolecular</w:t>
      </w:r>
      <w:r>
        <w:t xml:space="preserve"> </w:t>
      </w:r>
      <w:r>
        <w:t xml:space="preserve">hydrogen bonds, as seen in a similar structure with</w:t>
      </w:r>
      <w:r>
        <w:t xml:space="preserve"> </w:t>
      </w:r>
      <w:r>
        <w:rPr>
          <w:i/>
        </w:rPr>
        <w:t xml:space="preserve">n</w:t>
      </w:r>
      <w:r>
        <w:t xml:space="preserve">-butyl</w:t>
      </w:r>
      <w:r>
        <w:t xml:space="preserve"> </w:t>
      </w:r>
      <w:r>
        <w:t xml:space="preserve">groups (</w:t>
      </w:r>
      <w:r>
        <w:rPr>
          <w:i/>
        </w:rPr>
        <w:t xml:space="preserve">vide infra</w:t>
      </w:r>
      <w:r>
        <w:t xml:space="preserve">); the </w:t>
      </w:r>
      <w:r>
        <w:rPr>
          <w:i/>
        </w:rPr>
        <w:t xml:space="preserve">tert</w:t>
      </w:r>
      <w:r>
        <w:t xml:space="preserve">-butyl groups shield the</w:t>
      </w:r>
      <w:r>
        <w:t xml:space="preserve"> </w:t>
      </w:r>
      <w:r>
        <w:t xml:space="preserve">nitrogen and prevent close approach of the supramolecular donors and</w:t>
      </w:r>
      <w:r>
        <w:t xml:space="preserve"> </w:t>
      </w:r>
      <w:r>
        <w:t xml:space="preserve">acceptors. There are no pi–stacking interactions present; the aromatic</w:t>
      </w:r>
      <w:r>
        <w:t xml:space="preserve"> </w:t>
      </w:r>
      <w:r>
        <w:t xml:space="preserve">rings are separated by more than 6 Å.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1140706" cy="1152939"/>
            <wp:effectExtent b="0" l="0" r="0" t="0"/>
            <wp:docPr descr="The crystal packing of compound (I), viewed along the b-axis direction. " title="" id="1" name="Picture"/>
            <a:graphic>
              <a:graphicData uri="http://schemas.openxmlformats.org/drawingml/2006/picture">
                <pic:pic>
                  <pic:nvPicPr>
                    <pic:cNvPr descr="figures/7Fig-Packing/7Fig-Packbaxi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706" cy="11529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The crystal packing of compound (I), viewed along the b-axis direction.</w:t>
      </w:r>
      <w:r>
        <w:t xml:space="preserve"> </w:t>
      </w:r>
    </w:p>
    <w:p>
      <w:pPr>
        <w:pStyle w:val="Heading1"/>
      </w:pPr>
      <w:bookmarkStart w:id="31" w:name="database-survey"/>
      <w:bookmarkEnd w:id="31"/>
      <w:r>
        <w:t xml:space="preserve">Database survey</w:t>
      </w:r>
    </w:p>
    <w:p>
      <w:pPr>
        <w:pStyle w:val="FirstParagraph"/>
      </w:pPr>
      <w:r>
        <w:t xml:space="preserve">A search of the Cambridge Structural Database (Version 5.38, update</w:t>
      </w:r>
      <w:r>
        <w:t xml:space="preserve"> </w:t>
      </w:r>
      <w:r>
        <w:t xml:space="preserve">November 2016; Groom </w:t>
      </w:r>
      <w:r>
        <w:rPr>
          <w:i/>
        </w:rPr>
        <w:t xml:space="preserve">et al.</w:t>
      </w:r>
      <w:r>
        <w:t xml:space="preserve">, 2016) for the substructure of</w:t>
      </w:r>
      <w:r>
        <w:t xml:space="preserve"> </w:t>
      </w:r>
      <w:r>
        <w:t xml:space="preserve">2-(alkylamino)-4-(alkylimino)naphthalen-1(4</w:t>
      </w:r>
      <w:r>
        <w:rPr>
          <w:i/>
        </w:rPr>
        <w:t xml:space="preserve">H</w:t>
      </w:r>
      <w:r>
        <w:t xml:space="preserve">)-one yielded 3 hits</w:t>
      </w:r>
      <w:r>
        <w:t xml:space="preserve"> </w:t>
      </w:r>
      <w:r>
        <w:t xml:space="preserve">(we did not restrict the bonds types to the mayor tautomer). Two of the</w:t>
      </w:r>
      <w:r>
        <w:t xml:space="preserve"> </w:t>
      </w:r>
      <w:r>
        <w:t xml:space="preserve">structures, ESOFID (Schweinfurth </w:t>
      </w:r>
      <w:r>
        <w:rPr>
          <w:i/>
        </w:rPr>
        <w:t xml:space="preserve">et al</w:t>
      </w:r>
      <w:r>
        <w:t xml:space="preserve">., 2016) and UDAZEF</w:t>
      </w:r>
      <w:r>
        <w:t xml:space="preserve"> </w:t>
      </w:r>
      <w:r>
        <w:t xml:space="preserve">(Singh </w:t>
      </w:r>
      <w:r>
        <w:rPr>
          <w:i/>
        </w:rPr>
        <w:t xml:space="preserve">et al.</w:t>
      </w:r>
      <w:r>
        <w:t xml:space="preserve">, 2007) use aromatic amines</w:t>
      </w:r>
      <w:r>
        <w:t xml:space="preserve"> </w:t>
      </w:r>
      <w:r>
        <w:t xml:space="preserve">[</w:t>
      </w:r>
      <w:r>
        <w:t xml:space="preserve">aniline or</w:t>
      </w:r>
      <w:r>
        <w:t xml:space="preserve"> </w:t>
      </w:r>
      <w:r>
        <w:t xml:space="preserve">substituted aniline</w:t>
      </w:r>
      <w:r>
        <w:t xml:space="preserve">]</w:t>
      </w:r>
      <w:r>
        <w:t xml:space="preserve"> </w:t>
      </w:r>
      <w:r>
        <w:t xml:space="preserve">as the amine moiety. Only one</w:t>
      </w:r>
      <w:r>
        <w:t xml:space="preserve"> </w:t>
      </w:r>
      <w:r>
        <w:t xml:space="preserve">structure, UDAZIJ (Singh </w:t>
      </w:r>
      <w:r>
        <w:rPr>
          <w:i/>
        </w:rPr>
        <w:t xml:space="preserve">et al.</w:t>
      </w:r>
      <w:r>
        <w:t xml:space="preserve">, 2007), uses an aliphatic primary</w:t>
      </w:r>
      <w:r>
        <w:t xml:space="preserve"> </w:t>
      </w:r>
      <w:r>
        <w:t xml:space="preserve">amine (</w:t>
      </w:r>
      <w:r>
        <w:rPr>
          <w:i/>
        </w:rPr>
        <w:t xml:space="preserve">n</w:t>
      </w:r>
      <w:r>
        <w:t xml:space="preserve">-butylamine) in the positions 2 and 4. UDAZIJ is</w:t>
      </w:r>
      <w:r>
        <w:t xml:space="preserve"> </w:t>
      </w:r>
      <w:r>
        <w:t xml:space="preserve">noteworthy because the intramolecular N-H•••O bond is 2.34 (2) Å, much</w:t>
      </w:r>
      <w:r>
        <w:t xml:space="preserve"> </w:t>
      </w:r>
      <w:r>
        <w:t xml:space="preserve">longer than compound (I), and that in the crystal lattice of UDAZIJ a</w:t>
      </w:r>
      <w:r>
        <w:t xml:space="preserve"> </w:t>
      </w:r>
      <w:r>
        <w:t xml:space="preserve">dimeric assembly forms held together by intermolecular hydrogen bonding</w:t>
      </w:r>
      <w:r>
        <w:t xml:space="preserve"> </w:t>
      </w:r>
      <w:r>
        <w:t xml:space="preserve">interactions between the N-H and carbonyl of adjoining molecules.</w:t>
      </w:r>
    </w:p>
    <w:p>
      <w:pPr>
        <w:pStyle w:val="Heading1"/>
      </w:pPr>
      <w:bookmarkStart w:id="32" w:name="synthesis-and-crystallization"/>
      <w:bookmarkEnd w:id="32"/>
      <w:r>
        <w:t xml:space="preserve">Synthesis and</w:t>
      </w:r>
      <w:r>
        <w:t xml:space="preserve"> </w:t>
      </w:r>
      <w:r>
        <w:t xml:space="preserve">crystallization</w:t>
      </w:r>
    </w:p>
    <w:p>
      <w:pPr>
        <w:pStyle w:val="FirstParagraph"/>
      </w:pPr>
      <w:r>
        <w:t xml:space="preserve">The synthesis of</w:t>
      </w:r>
      <w:r>
        <w:t xml:space="preserve"> </w:t>
      </w:r>
      <w:r>
        <w:t xml:space="preserve">(</w:t>
      </w:r>
      <w:r>
        <w:rPr>
          <w:i/>
        </w:rPr>
        <w:t xml:space="preserve">E</w:t>
      </w:r>
      <w:r>
        <w:t xml:space="preserve">)-2-(</w:t>
      </w:r>
      <w:r>
        <w:rPr>
          <w:i/>
        </w:rPr>
        <w:t xml:space="preserve">tert</w:t>
      </w:r>
      <w:r>
        <w:t xml:space="preserve">-butylamino)-4-(</w:t>
      </w:r>
      <w:r>
        <w:rPr>
          <w:i/>
        </w:rPr>
        <w:t xml:space="preserve">tert</w:t>
      </w:r>
      <w:r>
        <w:t xml:space="preserve">-butylimino)naphthalen-1(4</w:t>
      </w:r>
      <w:r>
        <w:rPr>
          <w:i/>
        </w:rPr>
        <w:t xml:space="preserve">H</w:t>
      </w:r>
      <w:r>
        <w:t xml:space="preserve">)-one</w:t>
      </w:r>
      <w:r>
        <w:t xml:space="preserve"> </w:t>
      </w:r>
      <w:r>
        <w:t xml:space="preserve">is based on a new procedure (complete publication in progress).  A total</w:t>
      </w:r>
      <w:r>
        <w:t xml:space="preserve"> </w:t>
      </w:r>
      <w:r>
        <w:t xml:space="preserve">of 192 mg (1.00 mmol) of 4-chloronaphthalene-1,2-dione and 211 µL (2.00</w:t>
      </w:r>
      <w:r>
        <w:t xml:space="preserve"> </w:t>
      </w:r>
      <w:r>
        <w:t xml:space="preserve">mmol, 2 equiv.) of </w:t>
      </w:r>
      <w:r>
        <w:rPr>
          <w:i/>
        </w:rPr>
        <w:t xml:space="preserve">tert</w:t>
      </w:r>
      <w:r>
        <w:t xml:space="preserve">-butylamine were dissolved</w:t>
      </w:r>
      <w:r>
        <w:t xml:space="preserve"> </w:t>
      </w:r>
      <w:r>
        <w:t xml:space="preserve">in </w:t>
      </w:r>
      <w:r>
        <w:rPr>
          <w:i/>
        </w:rPr>
        <w:t xml:space="preserve">tert</w:t>
      </w:r>
      <w:r>
        <w:t xml:space="preserve">-amyl alcohol (3.0 mL). This solution was stirred at 110</w:t>
      </w:r>
      <w:r>
        <w:t xml:space="preserve"> </w:t>
      </w:r>
      <w:r>
        <w:t xml:space="preserve">°C under a nitrogen atmosphere for 2 hours. After being allowed to cool</w:t>
      </w:r>
      <w:r>
        <w:t xml:space="preserve"> </w:t>
      </w:r>
      <w:r>
        <w:t xml:space="preserve">to room temperature, the green-brownish solution (originally yellow) was</w:t>
      </w:r>
      <w:r>
        <w:t xml:space="preserve"> </w:t>
      </w:r>
      <w:r>
        <w:t xml:space="preserve">diluted with saline water (30 mL) and extracted with ethyl acetate (3 X</w:t>
      </w:r>
      <w:r>
        <w:t xml:space="preserve"> </w:t>
      </w:r>
      <w:r>
        <w:t xml:space="preserve">20 mL). The combined organic layers were dried over</w:t>
      </w:r>
      <w:r>
        <w:t xml:space="preserve"> </w:t>
      </w:r>
      <w:r>
        <w:t xml:space="preserve">Na</w:t>
      </w:r>
      <w:r>
        <w:rPr>
          <w:vertAlign w:val="subscript"/>
        </w:rPr>
        <w:t xml:space="preserve">2</w:t>
      </w:r>
      <w:r>
        <w:t xml:space="preserve">SO</w:t>
      </w:r>
      <w:r>
        <w:rPr>
          <w:vertAlign w:val="subscript"/>
        </w:rPr>
        <w:t xml:space="preserve">4</w:t>
      </w:r>
      <w:r>
        <w:t xml:space="preserve">, filtered, and then concentrated</w:t>
      </w:r>
      <w:r>
        <w:t xml:space="preserve"> </w:t>
      </w:r>
      <w:r>
        <w:t xml:space="preserve">under reduced pressure. The crude material (249 mg, a brown dark solid)</w:t>
      </w:r>
      <w:r>
        <w:t xml:space="preserve"> </w:t>
      </w:r>
      <w:r>
        <w:t xml:space="preserve">was separated by silica gel column chromatography using ethyl acetate to</w:t>
      </w:r>
      <w:r>
        <w:t xml:space="preserve"> </w:t>
      </w:r>
      <w:r>
        <w:t xml:space="preserve">obtain the reaction product and the secondary product (compound (I); 119</w:t>
      </w:r>
      <w:r>
        <w:t xml:space="preserve"> </w:t>
      </w:r>
      <w:r>
        <w:t xml:space="preserve">mg, a dark brown oily solid). Compound (I) was further purified by</w:t>
      </w:r>
      <w:r>
        <w:t xml:space="preserve"> </w:t>
      </w:r>
      <w:r>
        <w:t xml:space="preserve">another silica gel column chromatography using a gradient</w:t>
      </w:r>
      <w:r>
        <w:t xml:space="preserve"> </w:t>
      </w:r>
      <w:r>
        <w:t xml:space="preserve">[</w:t>
      </w:r>
      <w:r>
        <w:t xml:space="preserve">100%</w:t>
      </w:r>
      <w:r>
        <w:t xml:space="preserve"> </w:t>
      </w:r>
      <w:r>
        <w:t xml:space="preserve">dichloromethane (CH</w:t>
      </w:r>
      <w:r>
        <w:rPr>
          <w:vertAlign w:val="subscript"/>
        </w:rPr>
        <w:t xml:space="preserve">2</w:t>
      </w:r>
      <w:r>
        <w:t xml:space="preserve">Cl</w:t>
      </w:r>
      <w:r>
        <w:rPr>
          <w:vertAlign w:val="subscript"/>
        </w:rPr>
        <w:t xml:space="preserve">2</w:t>
      </w:r>
      <w:r>
        <w:t xml:space="preserve">) and then 100%</w:t>
      </w:r>
      <w:r>
        <w:t xml:space="preserve"> </w:t>
      </w:r>
      <w:r>
        <w:t xml:space="preserve">methyl </w:t>
      </w:r>
      <w:r>
        <w:rPr>
          <w:i/>
        </w:rPr>
        <w:t xml:space="preserve">tert</w:t>
      </w:r>
      <w:r>
        <w:t xml:space="preserve">-butyl ether</w:t>
      </w:r>
      <w:r>
        <w:t xml:space="preserve"> </w:t>
      </w:r>
      <w:r>
        <w:t xml:space="preserve">(C</w:t>
      </w:r>
      <w:r>
        <w:rPr>
          <w:vertAlign w:val="subscript"/>
        </w:rPr>
        <w:t xml:space="preserve">5</w:t>
      </w:r>
      <w:r>
        <w:t xml:space="preserve">H</w:t>
      </w:r>
      <w:r>
        <w:rPr>
          <w:vertAlign w:val="subscript"/>
        </w:rPr>
        <w:t xml:space="preserve">12</w:t>
      </w:r>
      <w:r>
        <w:t xml:space="preserve">O)</w:t>
      </w:r>
      <w:r>
        <w:t xml:space="preserve">]</w:t>
      </w:r>
      <w:r>
        <w:t xml:space="preserve">, the fractions were dried</w:t>
      </w:r>
      <w:r>
        <w:t xml:space="preserve"> </w:t>
      </w:r>
      <w:r>
        <w:t xml:space="preserve">under vacuum pressure to yield 14 mg of the pure product (5% yield) as</w:t>
      </w:r>
      <w:r>
        <w:t xml:space="preserve"> </w:t>
      </w:r>
      <w:r>
        <w:t xml:space="preserve">a yellow oily solid. Part of the purified product was re-dissolved in</w:t>
      </w:r>
      <w:r>
        <w:t xml:space="preserve"> </w:t>
      </w:r>
      <w:r>
        <w:t xml:space="preserve">methanol with a few drops of water and placed at room temperature for</w:t>
      </w:r>
      <w:r>
        <w:t xml:space="preserve"> </w:t>
      </w:r>
      <w:r>
        <w:t xml:space="preserve">slow evaporation. After several days, yellow needle-like crystals were</w:t>
      </w:r>
      <w:r>
        <w:t xml:space="preserve"> </w:t>
      </w:r>
      <w:r>
        <w:t xml:space="preserve">obtained. Mp (104-105) °C using a Fisher-Johns with calibrated</w:t>
      </w:r>
      <w:r>
        <w:t xml:space="preserve"> </w:t>
      </w:r>
      <w:r>
        <w:t xml:space="preserve">thermometer; </w:t>
      </w:r>
      <w:r>
        <w:rPr>
          <w:vertAlign w:val="superscript"/>
        </w:rPr>
        <w:t xml:space="preserve">1</w:t>
      </w:r>
      <w:r>
        <w:t xml:space="preserve">H-NMR (600 MHz, CDCl</w:t>
      </w:r>
      <w:r>
        <w:rPr>
          <w:vertAlign w:val="subscript"/>
        </w:rPr>
        <w:t xml:space="preserve">3</w:t>
      </w:r>
      <w:r>
        <w:t xml:space="preserve">) δ</w:t>
      </w:r>
      <w:r>
        <w:t xml:space="preserve"> </w:t>
      </w:r>
      <w:r>
        <w:t xml:space="preserve">8.46-8.48 (dd, </w:t>
      </w:r>
      <w:r>
        <w:rPr>
          <w:i/>
        </w:rPr>
        <w:t xml:space="preserve">J </w:t>
      </w:r>
      <w:r>
        <w:t xml:space="preserve">= 7.8, 1.3 Hz, 1 H), 8.09-8.12 (dd,</w:t>
      </w:r>
      <w:r>
        <w:t xml:space="preserve"> </w:t>
      </w:r>
      <w:r>
        <w:rPr>
          <w:i/>
        </w:rPr>
        <w:t xml:space="preserve">J </w:t>
      </w:r>
      <w:r>
        <w:t xml:space="preserve">=</w:t>
      </w:r>
      <w:r>
        <w:t xml:space="preserve"> </w:t>
      </w:r>
      <w:r>
        <w:t xml:space="preserve">7.8, 1.3 Hz, 1 H), 7.61-7.64 (td, </w:t>
      </w:r>
      <w:r>
        <w:rPr>
          <w:i/>
        </w:rPr>
        <w:t xml:space="preserve">J </w:t>
      </w:r>
      <w:r>
        <w:t xml:space="preserve">= 7.8, 1.3 Hz, 1 H),</w:t>
      </w:r>
      <w:r>
        <w:t xml:space="preserve"> </w:t>
      </w:r>
      <w:r>
        <w:t xml:space="preserve">7.48-7.52 (td, </w:t>
      </w:r>
      <w:r>
        <w:rPr>
          <w:i/>
        </w:rPr>
        <w:t xml:space="preserve">J </w:t>
      </w:r>
      <w:r>
        <w:t xml:space="preserve">= 7.8, 1.2 Hz, 1 H), 6.36 (s, 1 H), 5.53 (br. s,</w:t>
      </w:r>
      <w:r>
        <w:t xml:space="preserve"> </w:t>
      </w:r>
      <w:r>
        <w:t xml:space="preserve">1 H), 1.56 (s, 9 H), 1.47 (s, 9 H).  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33" w:name="refinement-details"/>
      <w:bookmarkEnd w:id="33"/>
      <w:r>
        <w:t xml:space="preserve">Refinement details</w:t>
      </w:r>
    </w:p>
    <w:p>
      <w:pPr>
        <w:pStyle w:val="FirstParagraph"/>
      </w:pPr>
      <w:r>
        <w:t xml:space="preserve">Crystal data, data collection and structure refinement details are</w:t>
      </w:r>
      <w:r>
        <w:t xml:space="preserve"> </w:t>
      </w:r>
      <w:r>
        <w:t xml:space="preserve">summarized in Table X. All hydrogen atoms are placed in calculated</w:t>
      </w:r>
      <w:r>
        <w:t xml:space="preserve"> </w:t>
      </w:r>
      <w:r>
        <w:t xml:space="preserve">positions</w:t>
      </w:r>
      <w:r>
        <w:t xml:space="preserve"> </w:t>
      </w:r>
      <w:r>
        <w:t xml:space="preserve">[</w:t>
      </w:r>
      <w:r>
        <w:t xml:space="preserve">C—H = 0.98–0.99 Å; </w:t>
      </w:r>
      <w:r>
        <w:rPr>
          <w:i/>
        </w:rPr>
        <w:t xml:space="preserve">U</w:t>
      </w:r>
      <w:r>
        <w:t xml:space="preserve"> </w:t>
      </w:r>
      <w:r>
        <w:t xml:space="preserve">iso(H) = 1.2 or 1.5</w:t>
      </w:r>
      <w:r>
        <w:rPr>
          <w:i/>
        </w:rPr>
        <w:t xml:space="preserve">U</w:t>
      </w:r>
      <w:r>
        <w:t xml:space="preserve"> </w:t>
      </w:r>
      <w:r>
        <w:t xml:space="preserve">eq(C)</w:t>
      </w:r>
      <w:r>
        <w:t xml:space="preserve">]</w:t>
      </w:r>
      <w:r>
        <w:t xml:space="preserve">. </w:t>
      </w:r>
    </w:p>
    <w:p>
      <w:pPr>
        <w:pStyle w:val="BodyText"/>
      </w:pPr>
      <w:r>
        <w:br w:type="textWrapping"/>
      </w:r>
      <w:r>
        <w:rPr>
          <w:b/>
        </w:rPr>
        <w:t xml:space="preserve">Acknowledgements</w:t>
      </w:r>
    </w:p>
    <w:p>
      <w:pPr>
        <w:pStyle w:val="BodyText"/>
      </w:pPr>
      <w:r>
        <w:t xml:space="preserve">The Centro de Investigaciones en Productos Naturales (CIPRONA), the</w:t>
      </w:r>
      <w:r>
        <w:t xml:space="preserve"> </w:t>
      </w:r>
      <w:r>
        <w:t xml:space="preserve">Centro de Electroquímica y Energía Química (CELEQ) and the Escuela de</w:t>
      </w:r>
      <w:r>
        <w:t xml:space="preserve"> </w:t>
      </w:r>
      <w:r>
        <w:t xml:space="preserve">Química, Universidad de Costa Rica (UCR) provided support.</w:t>
      </w:r>
    </w:p>
    <w:p>
      <w:pPr>
        <w:pStyle w:val="BodyText"/>
      </w:pPr>
      <w:r>
        <w:br w:type="textWrapping"/>
      </w:r>
      <w:r>
        <w:rPr>
          <w:b/>
        </w:rPr>
        <w:t xml:space="preserve">References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66ad7ae7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Crystal structure of (E)-2-(tert-butylamino)-4-(tert-butylimino)naphthalen-1(4H)-one</dc:title>
  <dc:creator>Guy Lamoureux; Mónica Alvarado Rojas; leslie.pineda</dc:creator>
  <dcterms:created xsi:type="dcterms:W3CDTF">2018-02-26T20:01:50Z</dcterms:created>
  <dcterms:modified xsi:type="dcterms:W3CDTF">2018-02-26T20:01:50Z</dcterms:modified>
</cp:coreProperties>
</file>