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media/rId29.png" ContentType="image/png"/>
  <Override PartName="/word/media/rId34.png" ContentType="image/png"/>
  <Override PartName="/word/media/rId33.png" ContentType="image/png"/>
  <Override PartName="/word/media/rId31.png" ContentType="image/png"/>
  <Override PartName="/word/media/rId32.png" ContentType="image/png"/>
  <Override PartName="/word/media/rId30.png" ContentType="image/png"/>
  <Override PartName="/word/media/rId38.png" ContentType="image/png"/>
  <Override PartName="/word/media/rId39.png" ContentType="image/png"/>
  <Override PartName="/word/media/rId40.png" ContentType="image/png"/>
  <Override PartName="/word/media/rId41.png" ContentType="image/png"/>
  <Override PartName="/word/media/rId42.png" ContentType="image/png"/>
  <Override PartName="/word/media/rId43.png" ContentType="image/png"/>
  <Override PartName="/word/media/rId44.png" ContentType="image/png"/>
  <Override PartName="/word/media/rId45.png" ContentType="image/png"/>
  <Override PartName="/word/media/rId46.png" ContentType="image/png"/>
  <Override PartName="/word/media/rId37.png" ContentType="image/png"/>
  <Override PartName="/word/media/rId36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BASILICATA</w:t>
      </w:r>
      <w:r>
        <w:t xml:space="preserve"> </w:t>
      </w:r>
      <w:r>
        <w:t xml:space="preserve">2012-2016</w:t>
      </w:r>
      <w:r>
        <w:t xml:space="preserve"> </w:t>
      </w:r>
      <w:r>
        <w:t xml:space="preserve">-</w:t>
      </w:r>
      <w:r>
        <w:t xml:space="preserve"> </w:t>
      </w:r>
      <w:r>
        <w:t xml:space="preserve">ANALISI</w:t>
      </w:r>
      <w:r>
        <w:t xml:space="preserve"> </w:t>
      </w:r>
      <w:r>
        <w:t xml:space="preserve">DELLA</w:t>
      </w:r>
      <w:r>
        <w:t xml:space="preserve"> </w:t>
      </w:r>
      <w:r>
        <w:t xml:space="preserve">MORTALITÀ</w:t>
      </w:r>
      <w:r>
        <w:t xml:space="preserve"> </w:t>
      </w:r>
      <w:r>
        <w:t xml:space="preserve">STANDARDIZZATA</w:t>
      </w:r>
      <w:r>
        <w:t xml:space="preserve"> </w:t>
      </w:r>
      <w:r>
        <w:t xml:space="preserve">PER</w:t>
      </w:r>
      <w:r>
        <w:t xml:space="preserve"> </w:t>
      </w:r>
      <w:r>
        <w:t xml:space="preserve">ETA’ </w:t>
      </w:r>
    </w:p>
    <w:p>
      <w:pPr>
        <w:pStyle w:val="Author"/>
      </w:pPr>
      <w:r>
        <w:t xml:space="preserve">Antonello</w:t>
      </w:r>
      <w:r>
        <w:t xml:space="preserve"> </w:t>
      </w:r>
      <w:r>
        <w:t xml:space="preserve">Russo</w:t>
      </w:r>
    </w:p>
    <w:p>
      <w:pPr>
        <w:pStyle w:val="Heading1"/>
      </w:pPr>
      <w:bookmarkStart w:id="21" w:name="introduzione"/>
      <w:bookmarkEnd w:id="21"/>
      <w:r>
        <w:t xml:space="preserve">Introduzione</w:t>
      </w:r>
    </w:p>
    <w:p>
      <w:pPr>
        <w:pStyle w:val="FirstParagraph"/>
      </w:pPr>
      <w:r>
        <w:t xml:space="preserve">Lo studio e’ stato condotto, su idea della associazione lucana di</w:t>
      </w:r>
      <w:r>
        <w:t xml:space="preserve"> </w:t>
      </w:r>
      <w:r>
        <w:t xml:space="preserve">volontariato ambientale</w:t>
      </w:r>
      <w:r>
        <w:t xml:space="preserve"> </w:t>
      </w:r>
      <w:r>
        <w:t xml:space="preserve">“</w:t>
      </w:r>
      <w:r>
        <w:t xml:space="preserve">COVA Contro</w:t>
      </w:r>
      <w:r>
        <w:t xml:space="preserve">”</w:t>
      </w:r>
      <w:r>
        <w:t xml:space="preserve">, in completa autonomia; le</w:t>
      </w:r>
      <w:r>
        <w:t xml:space="preserve"> </w:t>
      </w:r>
      <w:r>
        <w:t xml:space="preserve">opinioni ed i risultati sono pertanto ascrivibili esclusivamente</w:t>
      </w:r>
      <w:r>
        <w:t xml:space="preserve"> </w:t>
      </w:r>
      <w:r>
        <w:t xml:space="preserve">all’autore.</w:t>
      </w:r>
    </w:p>
    <w:p>
      <w:pPr>
        <w:pStyle w:val="BodyText"/>
      </w:pPr>
      <w:r>
        <w:t xml:space="preserve">L’obiettivo dello studio è quello di valutare, in funzione dei dati</w:t>
      </w:r>
      <w:r>
        <w:t xml:space="preserve"> </w:t>
      </w:r>
      <w:r>
        <w:t xml:space="preserve">Istat pubblicamente accessibili, la mortalità standardizzata per età in</w:t>
      </w:r>
      <w:r>
        <w:t xml:space="preserve"> </w:t>
      </w:r>
      <w:r>
        <w:t xml:space="preserve">Basilicata:</w:t>
      </w:r>
    </w:p>
    <w:p>
      <w:pPr>
        <w:pStyle w:val="BodyText"/>
      </w:pPr>
      <w:r>
        <w:t xml:space="preserve">- a livello regionale, provinciale e comunale nel</w:t>
      </w:r>
      <w:r>
        <w:t xml:space="preserve"> </w:t>
      </w:r>
      <w:r>
        <w:t xml:space="preserve">periodo </w:t>
      </w:r>
      <w:r>
        <w:rPr>
          <w:b/>
        </w:rPr>
        <w:t xml:space="preserve">2012-2016</w:t>
      </w:r>
      <w:r>
        <w:t xml:space="preserve"> per tutte le cause;</w:t>
      </w:r>
    </w:p>
    <w:p>
      <w:pPr>
        <w:pStyle w:val="BodyText"/>
      </w:pPr>
      <w:r>
        <w:t xml:space="preserve">- a livello regionale e provinciale nel periodo </w:t>
      </w:r>
      <w:r>
        <w:rPr>
          <w:b/>
        </w:rPr>
        <w:t xml:space="preserve">2012-2015</w:t>
      </w:r>
      <w:r>
        <w:t xml:space="preserve"> per</w:t>
      </w:r>
      <w:r>
        <w:t xml:space="preserve"> </w:t>
      </w:r>
      <w:r>
        <w:t xml:space="preserve">gruppi di cause e singole cause di decesso.</w:t>
      </w:r>
    </w:p>
    <w:p>
      <w:pPr>
        <w:pStyle w:val="BodyText"/>
      </w:pPr>
      <w:r>
        <w:t xml:space="preserve">Tanto al fine di fornire gli specifici eccessi/difetti di mortalità, sia</w:t>
      </w:r>
      <w:r>
        <w:t xml:space="preserve"> </w:t>
      </w:r>
      <w:r>
        <w:t xml:space="preserve">per genere che per l’intera popolazione, dei residenti nella Regione</w:t>
      </w:r>
      <w:r>
        <w:t xml:space="preserve"> </w:t>
      </w:r>
      <w:r>
        <w:t xml:space="preserve">Basilicata.</w:t>
      </w:r>
    </w:p>
    <w:p>
      <w:pPr>
        <w:pStyle w:val="Heading1"/>
      </w:pPr>
      <w:bookmarkStart w:id="22" w:name="materiali"/>
      <w:bookmarkEnd w:id="22"/>
      <w:r>
        <w:t xml:space="preserve">Materiali</w:t>
      </w:r>
    </w:p>
    <w:p>
      <w:pPr>
        <w:pStyle w:val="FirstParagraph"/>
      </w:pPr>
      <w:r>
        <w:t xml:space="preserve">La fonte dati e’ Istat</w:t>
      </w:r>
      <w:r>
        <w:t xml:space="preserve"> </w:t>
      </w:r>
      <w:r>
        <w:t xml:space="preserve">(</w:t>
      </w:r>
      <w:hyperlink r:id="rId23">
        <w:r>
          <w:rPr>
            <w:rStyle w:val="Hyperlink"/>
          </w:rPr>
          <w:t xml:space="preserve">www.dati.istat.it</w:t>
        </w:r>
      </w:hyperlink>
      <w:r>
        <w:t xml:space="preserve">); dal data</w:t>
      </w:r>
      <w:r>
        <w:t xml:space="preserve"> </w:t>
      </w:r>
      <w:r>
        <w:t xml:space="preserve">warehouse Istat sono stati estratti:</w:t>
      </w:r>
    </w:p>
    <w:p>
      <w:pPr>
        <w:numPr>
          <w:numId w:val="1001"/>
          <w:ilvl w:val="0"/>
        </w:numPr>
      </w:pPr>
      <w:r>
        <w:t xml:space="preserve">i dati della popolazione residente ad inizio anno per sesso e fasce</w:t>
      </w:r>
      <w:r>
        <w:t xml:space="preserve"> </w:t>
      </w:r>
      <w:r>
        <w:t xml:space="preserve">d’età (dal 01/01/2012 al 01/01/2017) per Italia, Regione, Province,</w:t>
      </w:r>
      <w:r>
        <w:t xml:space="preserve"> </w:t>
      </w:r>
      <w:r>
        <w:t xml:space="preserve">Comuni;</w:t>
      </w:r>
    </w:p>
    <w:p>
      <w:pPr>
        <w:numPr>
          <w:numId w:val="1001"/>
          <w:ilvl w:val="0"/>
        </w:numPr>
      </w:pPr>
      <w:r>
        <w:t xml:space="preserve">i dati annui, per territorio di residenza e per genere, dei decessi:</w:t>
      </w:r>
    </w:p>
    <w:p>
      <w:pPr>
        <w:pStyle w:val="FirstParagraph"/>
      </w:pPr>
      <w:r>
        <w:t xml:space="preserve">- totali: a livello comunale, provinciale e regionale, relativi al</w:t>
      </w:r>
      <w:r>
        <w:t xml:space="preserve"> </w:t>
      </w:r>
      <w:r>
        <w:t xml:space="preserve">periodo dal 2012 al 2016;</w:t>
      </w:r>
    </w:p>
    <w:p>
      <w:pPr>
        <w:pStyle w:val="BodyText"/>
      </w:pPr>
      <w:r>
        <w:t xml:space="preserve">- totali e per fasce d’età (0-4; 5-9;10-14; … ; 95+): a livello</w:t>
      </w:r>
      <w:r>
        <w:t xml:space="preserve"> </w:t>
      </w:r>
      <w:r>
        <w:t xml:space="preserve">provinciale e regionale, relativi al periodo dal 2012 al 2016;</w:t>
      </w:r>
    </w:p>
    <w:p>
      <w:pPr>
        <w:pStyle w:val="BodyText"/>
      </w:pPr>
      <w:r>
        <w:t xml:space="preserve">- totali e per causa di morte: a livello provinciale e regionale,</w:t>
      </w:r>
      <w:r>
        <w:t xml:space="preserve"> </w:t>
      </w:r>
      <w:r>
        <w:t xml:space="preserve">relativi al periodo dal 2012 al 2015;</w:t>
      </w:r>
    </w:p>
    <w:p>
      <w:pPr>
        <w:pStyle w:val="BodyText"/>
      </w:pPr>
      <w:r>
        <w:t xml:space="preserve">- totali, per fasce d’età (0;1-4; 5-9;10-14; … ; 95+) e per causa</w:t>
      </w:r>
      <w:r>
        <w:t xml:space="preserve"> </w:t>
      </w:r>
      <w:r>
        <w:t xml:space="preserve">di morte: italiani per il periodo dal 2012 al 2015.</w:t>
      </w:r>
    </w:p>
    <w:p>
      <w:pPr>
        <w:pStyle w:val="BodyText"/>
      </w:pPr>
      <w:r>
        <w:t xml:space="preserve">La standardizzazione per eta’ e per cause di decesso con riferimento</w:t>
      </w:r>
      <w:r>
        <w:t xml:space="preserve"> </w:t>
      </w:r>
      <w:r>
        <w:t xml:space="preserve">italiano si basa quindi sui 2.443.595 decessi occorsi fra i cittadini</w:t>
      </w:r>
      <w:r>
        <w:t xml:space="preserve"> </w:t>
      </w:r>
      <w:r>
        <w:t xml:space="preserve">residenti nel territorio italiano nel periodo 2012-15 per i quali siano</w:t>
      </w:r>
      <w:r>
        <w:t xml:space="preserve"> </w:t>
      </w:r>
      <w:r>
        <w:t xml:space="preserve">state fornite informazioni su: causa di decesso, fascia d’eta’ e genere.</w:t>
      </w:r>
    </w:p>
    <w:p>
      <w:pPr>
        <w:pStyle w:val="Heading1"/>
      </w:pPr>
      <w:bookmarkStart w:id="24" w:name="metodi"/>
      <w:bookmarkEnd w:id="24"/>
      <w:r>
        <w:t xml:space="preserve">Metodi</w:t>
      </w:r>
    </w:p>
    <w:p>
      <w:pPr>
        <w:pStyle w:val="FirstParagraph"/>
      </w:pPr>
      <w:r>
        <w:t xml:space="preserve">Per effettuare un confronto fra le diverse popolazioni residenti,</w:t>
      </w:r>
      <w:r>
        <w:t xml:space="preserve"> </w:t>
      </w:r>
      <w:r>
        <w:t xml:space="preserve">neutralizzando gli effetti derivanti dalle loro diverse strutture per</w:t>
      </w:r>
      <w:r>
        <w:t xml:space="preserve"> </w:t>
      </w:r>
      <w:r>
        <w:t xml:space="preserve">eta’, si e’ provveduto a standardizzarle, in funzione dei dati</w:t>
      </w:r>
      <w:r>
        <w:t xml:space="preserve"> </w:t>
      </w:r>
      <w:r>
        <w:t xml:space="preserve">disponibili, sia mediante l’utilizzo del metodo diretto che indiretto.</w:t>
      </w:r>
    </w:p>
    <w:p>
      <w:pPr>
        <w:pStyle w:val="BodyText"/>
      </w:pPr>
      <w:r>
        <w:t xml:space="preserve">Il metodo diretto, definito Tasso standardizzato di mortalità (in</w:t>
      </w:r>
      <w:r>
        <w:t xml:space="preserve"> </w:t>
      </w:r>
      <w:r>
        <w:t xml:space="preserve">inglese e in sigla: Standardised Death Rate – SDR), si basa sul calcolo</w:t>
      </w:r>
      <w:r>
        <w:t xml:space="preserve"> </w:t>
      </w:r>
      <w:r>
        <w:t xml:space="preserve">del tasso di mortalità derivante dall’applicare gli specifici quozienti</w:t>
      </w:r>
      <w:r>
        <w:t xml:space="preserve"> </w:t>
      </w:r>
      <w:r>
        <w:t xml:space="preserve">di mortalità per genere e fascia d’età delle unità territoriali in</w:t>
      </w:r>
      <w:r>
        <w:t xml:space="preserve"> </w:t>
      </w:r>
      <w:r>
        <w:t xml:space="preserve">analisi alla corrispondente numerosità della popolazione</w:t>
      </w:r>
      <w:r>
        <w:t xml:space="preserve"> </w:t>
      </w:r>
      <w:r>
        <w:t xml:space="preserve">convenzionalmente adottata come standard. Nell’analisi è stata adottata</w:t>
      </w:r>
      <w:r>
        <w:t xml:space="preserve"> </w:t>
      </w:r>
      <w:r>
        <w:t xml:space="preserve">quale popolazione standard la Popolazione Europea Standard (ESP) di cui</w:t>
      </w:r>
      <w:r>
        <w:t xml:space="preserve"> </w:t>
      </w:r>
      <w:r>
        <w:t xml:space="preserve">all’Allegato F del</w:t>
      </w:r>
      <w:r>
        <w:t xml:space="preserve"> </w:t>
      </w:r>
      <w:r>
        <w:t xml:space="preserve">“</w:t>
      </w:r>
      <w:r>
        <w:t xml:space="preserve">Revision of the European Standard Population -</w:t>
      </w:r>
      <w:r>
        <w:t xml:space="preserve"> </w:t>
      </w:r>
      <w:r>
        <w:t xml:space="preserve">Report of Eurostat’s task force</w:t>
      </w:r>
      <w:r>
        <w:t xml:space="preserve">”</w:t>
      </w:r>
      <w:r>
        <w:t xml:space="preserve"> </w:t>
      </w:r>
      <w:r>
        <w:t xml:space="preserve">- Pubblications Office of the European</w:t>
      </w:r>
      <w:r>
        <w:t xml:space="preserve"> </w:t>
      </w:r>
      <w:r>
        <w:t xml:space="preserve">Union, 2013.</w:t>
      </w:r>
    </w:p>
    <w:p>
      <w:pPr>
        <w:pStyle w:val="BodyText"/>
      </w:pPr>
      <w:r>
        <w:t xml:space="preserve">In formula:</w:t>
      </w:r>
    </w:p>
    <w:p>
      <w:pPr>
        <w:pStyle w:val="BodyText"/>
      </w:pPr>
      <m:oMath>
        <m:r>
          <m:t>S</m:t>
        </m:r>
        <m:r>
          <m:t>D</m:t>
        </m:r>
        <m:r>
          <m:t>R</m:t>
        </m:r>
        <m:r>
          <m:t>=</m:t>
        </m:r>
        <m:f>
          <m:fPr>
            <m:type m:val="bar"/>
          </m:fPr>
          <m:num>
            <m:r>
              <m:t>Σ</m:t>
            </m:r>
            <m:d>
              <m:dPr>
                <m:begChr m:val="("/>
                <m:endChr m:val=")"/>
                <m:grow/>
              </m:dPr>
              <m:e>
                <m:r>
                  <m:t> </m:t>
                </m:r>
                <m:f>
                  <m:fPr>
                    <m:type m:val="bar"/>
                  </m:fPr>
                  <m:num>
                    <m:sSub>
                      <m:e>
                        <m:r>
                          <m:t>d</m:t>
                        </m:r>
                      </m:e>
                      <m:sub>
                        <m:r>
                          <m:t>i</m:t>
                        </m:r>
                      </m:sub>
                    </m:sSub>
                  </m:num>
                  <m:den>
                    <m:sSub>
                      <m:e>
                        <m:r>
                          <m:t>n</m:t>
                        </m:r>
                      </m:e>
                      <m:sub>
                        <m:r>
                          <m:t>i</m:t>
                        </m:r>
                      </m:sub>
                    </m:sSub>
                  </m:den>
                </m:f>
                <m:r>
                  <m:t> </m:t>
                </m:r>
                <m:r>
                  <m:t>⋅</m:t>
                </m:r>
                <m:r>
                  <m:t> </m:t>
                </m:r>
                <m:sSub>
                  <m:e>
                    <m:r>
                      <m:t>N</m:t>
                    </m:r>
                  </m:e>
                  <m:sub>
                    <m:r>
                      <m:t>i</m:t>
                    </m:r>
                  </m:sub>
                </m:sSub>
              </m:e>
            </m:d>
          </m:num>
          <m:den>
            <m:r>
              <m:t>N</m:t>
            </m:r>
          </m:den>
        </m:f>
      </m:oMath>
    </w:p>
    <w:p>
      <w:pPr>
        <w:pStyle w:val="BodyText"/>
      </w:pPr>
      <w:r>
        <w:rPr>
          <w:i/>
        </w:rPr>
        <w:t xml:space="preserve">dove:</w:t>
      </w:r>
    </w:p>
    <w:p>
      <w:pPr>
        <w:pStyle w:val="BodyText"/>
      </w:pPr>
      <w:r>
        <w:rPr>
          <w:i/>
        </w:rPr>
        <w:t xml:space="preserve">di: numero di decessi nella fascia d’età i-esima nella popolazione</w:t>
      </w:r>
      <w:r>
        <w:rPr>
          <w:i/>
        </w:rPr>
        <w:t xml:space="preserve"> </w:t>
      </w:r>
      <w:r>
        <w:rPr>
          <w:i/>
        </w:rPr>
        <w:t xml:space="preserve">in studio;</w:t>
      </w:r>
    </w:p>
    <w:p>
      <w:pPr>
        <w:pStyle w:val="BodyText"/>
      </w:pPr>
      <w:r>
        <w:rPr>
          <w:i/>
        </w:rPr>
        <w:t xml:space="preserve">ni: numerosità media della popolazione in studio nella fascia</w:t>
      </w:r>
      <w:r>
        <w:rPr>
          <w:i/>
        </w:rPr>
        <w:t xml:space="preserve"> </w:t>
      </w:r>
      <w:r>
        <w:rPr>
          <w:i/>
        </w:rPr>
        <w:t xml:space="preserve">d’età i-esima;</w:t>
      </w:r>
    </w:p>
    <w:p>
      <w:pPr>
        <w:pStyle w:val="BodyText"/>
      </w:pPr>
      <w:r>
        <w:rPr>
          <w:i/>
        </w:rPr>
        <w:t xml:space="preserve">Ni: numerosità della popolazione standard nella fascia d’età</w:t>
      </w:r>
      <w:r>
        <w:rPr>
          <w:i/>
        </w:rPr>
        <w:t xml:space="preserve"> </w:t>
      </w:r>
      <w:r>
        <w:rPr>
          <w:i/>
        </w:rPr>
        <w:t xml:space="preserve">i-esima;</w:t>
      </w:r>
      <w:r>
        <w:t xml:space="preserve"> </w:t>
      </w:r>
      <w:r>
        <w:t xml:space="preserve"> </w:t>
      </w:r>
    </w:p>
    <w:p>
      <w:pPr>
        <w:pStyle w:val="BodyText"/>
      </w:pPr>
      <w:r>
        <w:rPr>
          <w:i/>
        </w:rPr>
        <w:t xml:space="preserve">N: mumerosità della popolazione standard.</w:t>
      </w:r>
    </w:p>
    <w:p>
      <w:pPr>
        <w:pStyle w:val="BodyText"/>
      </w:pPr>
      <w:r>
        <w:br w:type="textWrapping"/>
      </w:r>
      <w:r>
        <w:t xml:space="preserve">Il metodo indiretto, definito rapporto standardizzato di mortalita’ (in</w:t>
      </w:r>
      <w:r>
        <w:t xml:space="preserve"> </w:t>
      </w:r>
      <w:r>
        <w:t xml:space="preserve">inglese e in sigla: Standardized Mortality Ratio – SMR), si basa sul</w:t>
      </w:r>
      <w:r>
        <w:t xml:space="preserve"> </w:t>
      </w:r>
      <w:r>
        <w:t xml:space="preserve">rapporto fra i decessi osservati in un territorio e quelli attesi nello</w:t>
      </w:r>
      <w:r>
        <w:t xml:space="preserve"> </w:t>
      </w:r>
      <w:r>
        <w:t xml:space="preserve">stesso; questi ultimi sono calcolati applicando alla popolazione media</w:t>
      </w:r>
      <w:r>
        <w:t xml:space="preserve"> </w:t>
      </w:r>
      <w:r>
        <w:t xml:space="preserve">annua per classi d’eta’ e sesso di ogni unita’ territoriale in analisi i</w:t>
      </w:r>
      <w:r>
        <w:t xml:space="preserve"> </w:t>
      </w:r>
      <w:r>
        <w:t xml:space="preserve">corrispondenti quozienti specifici di mortalita’ della popolazione</w:t>
      </w:r>
      <w:r>
        <w:t xml:space="preserve"> </w:t>
      </w:r>
      <w:r>
        <w:t xml:space="preserve">assunta come standard. L’SMR esprime quindi il rapporto fra i decessi</w:t>
      </w:r>
      <w:r>
        <w:t xml:space="preserve"> </w:t>
      </w:r>
      <w:r>
        <w:t xml:space="preserve">osservati in uno specifico territorio ed i decessi attesi qualora ivi si</w:t>
      </w:r>
      <w:r>
        <w:t xml:space="preserve"> </w:t>
      </w:r>
      <w:r>
        <w:t xml:space="preserve">sperimentasse annualmente la mortalita’, specifica per genere e fasce</w:t>
      </w:r>
      <w:r>
        <w:t xml:space="preserve"> </w:t>
      </w:r>
      <w:r>
        <w:t xml:space="preserve">d’eta’, della popolazione usata come standard.</w:t>
      </w:r>
    </w:p>
    <w:p>
      <w:pPr>
        <w:pStyle w:val="BodyText"/>
      </w:pPr>
      <w:r>
        <w:br w:type="textWrapping"/>
      </w:r>
      <w:r>
        <w:t xml:space="preserve">In formula:</w:t>
      </w:r>
    </w:p>
    <w:p>
      <w:pPr>
        <w:pStyle w:val="BodyText"/>
      </w:pPr>
      <w:r>
        <w:br w:type="textWrapping"/>
      </w:r>
      <m:oMath>
        <m:r>
          <m:t>S</m:t>
        </m:r>
        <m:r>
          <m:t>M</m:t>
        </m:r>
        <m:r>
          <m:t>R</m:t>
        </m:r>
        <m:r>
          <m:t>=</m:t>
        </m:r>
        <m:f>
          <m:fPr>
            <m:type m:val="bar"/>
          </m:fPr>
          <m:num>
            <m:r>
              <m:t>Σ</m:t>
            </m:r>
            <m:r>
              <m:t>O</m:t>
            </m:r>
            <m:r>
              <m:t>s</m:t>
            </m:r>
            <m:sSub>
              <m:e>
                <m:r>
                  <m:t>s</m:t>
                </m:r>
              </m:e>
              <m:sub>
                <m:r>
                  <m:t>t</m:t>
                </m:r>
              </m:sub>
            </m:sSub>
          </m:num>
          <m:den>
            <m:r>
              <m:t>Σ</m:t>
            </m:r>
            <m:d>
              <m:dPr>
                <m:begChr m:val="("/>
                <m:endChr m:val=")"/>
                <m:grow/>
              </m:dPr>
              <m:e>
                <m:r>
                  <m:t>Q</m:t>
                </m:r>
                <m:r>
                  <m:t>m</m:t>
                </m:r>
                <m:r>
                  <m:t> </m:t>
                </m:r>
                <m:r>
                  <m:t>s</m:t>
                </m:r>
                <m:r>
                  <m:t>t</m:t>
                </m:r>
                <m:r>
                  <m:t>d</m:t>
                </m:r>
                <m:sSub>
                  <m:e>
                    <m:r>
                      <m:t> </m:t>
                    </m:r>
                  </m:e>
                  <m:sub>
                    <m:r>
                      <m:t>i</m:t>
                    </m:r>
                    <m:r>
                      <m:t> </m:t>
                    </m:r>
                    <m:r>
                      <m:t>t</m:t>
                    </m:r>
                  </m:sub>
                </m:sSub>
                <m:r>
                  <m:t> </m:t>
                </m:r>
                <m:r>
                  <m:t>⋅</m:t>
                </m:r>
                <m:r>
                  <m:t> </m:t>
                </m:r>
                <m:sSub>
                  <m:e>
                    <m:r>
                      <m:t>N</m:t>
                    </m:r>
                  </m:e>
                  <m:sub>
                    <m:r>
                      <m:t>i</m:t>
                    </m:r>
                    <m:r>
                      <m:t> </m:t>
                    </m:r>
                    <m:r>
                      <m:t>t</m:t>
                    </m:r>
                  </m:sub>
                </m:sSub>
              </m:e>
            </m:d>
          </m:den>
        </m:f>
      </m:oMath>
    </w:p>
    <w:p>
      <w:pPr>
        <w:pStyle w:val="BodyText"/>
      </w:pPr>
      <w:r>
        <w:rPr>
          <w:i/>
        </w:rPr>
        <w:t xml:space="preserve">dove:</w:t>
      </w:r>
    </w:p>
    <w:p>
      <w:pPr>
        <w:pStyle w:val="BodyText"/>
      </w:pPr>
      <w:r>
        <w:rPr>
          <w:i/>
        </w:rPr>
        <w:t xml:space="preserve">Osst : decessi osservati nella popolazione in studio nell’anno</w:t>
      </w:r>
      <w:r>
        <w:rPr>
          <w:i/>
        </w:rPr>
        <w:t xml:space="preserve"> </w:t>
      </w:r>
      <w:r>
        <w:rPr>
          <w:i/>
        </w:rPr>
        <w:t xml:space="preserve">ti-esimo;</w:t>
      </w:r>
    </w:p>
    <w:p>
      <w:pPr>
        <w:pStyle w:val="BodyText"/>
      </w:pPr>
      <w:r>
        <w:rPr>
          <w:i/>
        </w:rPr>
        <w:t xml:space="preserve">Qm std i t : quozienti di mortalita’ della popolazione assunta a</w:t>
      </w:r>
      <w:r>
        <w:rPr>
          <w:i/>
        </w:rPr>
        <w:t xml:space="preserve"> </w:t>
      </w:r>
      <w:r>
        <w:rPr>
          <w:i/>
        </w:rPr>
        <w:t xml:space="preserve">riferimento, ovvero i decessi osservati nella fascia d’età i-esima e</w:t>
      </w:r>
      <w:r>
        <w:rPr>
          <w:i/>
        </w:rPr>
        <w:t xml:space="preserve"> </w:t>
      </w:r>
      <w:r>
        <w:rPr>
          <w:i/>
        </w:rPr>
        <w:t xml:space="preserve">nell’anno ti-esimo diviso la numerosita’ media di inizio e fine anno</w:t>
      </w:r>
      <w:r>
        <w:rPr>
          <w:i/>
        </w:rPr>
        <w:t xml:space="preserve"> </w:t>
      </w:r>
      <w:r>
        <w:rPr>
          <w:i/>
        </w:rPr>
        <w:t xml:space="preserve">della </w:t>
      </w:r>
      <w:r>
        <w:rPr>
          <w:i/>
          <w:i/>
        </w:rPr>
        <w:t xml:space="preserve">corrispondente</w:t>
      </w:r>
      <w:r>
        <w:rPr>
          <w:i/>
        </w:rPr>
        <w:t xml:space="preserve"> </w:t>
      </w:r>
      <w:r>
        <w:rPr>
          <w:i/>
        </w:rPr>
        <w:t xml:space="preserve">popolazione standard;</w:t>
      </w:r>
    </w:p>
    <w:p>
      <w:pPr>
        <w:pStyle w:val="BodyText"/>
      </w:pPr>
      <w:r>
        <w:rPr>
          <w:i/>
        </w:rPr>
        <w:t xml:space="preserve">Ni t</w:t>
      </w:r>
      <w:r>
        <w:t xml:space="preserve"> </w:t>
      </w:r>
      <w:r>
        <w:rPr>
          <w:i/>
        </w:rPr>
        <w:t xml:space="preserve">: numerosita’ media (inizio e fine anno)  della</w:t>
      </w:r>
      <w:r>
        <w:rPr>
          <w:i/>
        </w:rPr>
        <w:t xml:space="preserve"> </w:t>
      </w:r>
      <w:r>
        <w:rPr>
          <w:i/>
        </w:rPr>
        <w:t xml:space="preserve">popolazione in studio nella fascia d’eta’ i-esima e nell’anno ti-esimo.</w:t>
      </w:r>
    </w:p>
    <w:p>
      <w:pPr>
        <w:pStyle w:val="BodyText"/>
      </w:pPr>
      <w:r>
        <w:br w:type="textWrapping"/>
      </w:r>
      <w:r>
        <w:t xml:space="preserve">L’analisi della mortalita’ per le singole cause e per i 17 gruppi di</w:t>
      </w:r>
      <w:r>
        <w:t xml:space="preserve"> </w:t>
      </w:r>
      <w:r>
        <w:t xml:space="preserve">cause indicate nell’elenco delle cause di morte secondo la decima</w:t>
      </w:r>
      <w:r>
        <w:t xml:space="preserve"> </w:t>
      </w:r>
      <w:r>
        <w:t xml:space="preserve">classificazione internazionale delle malattie e dei problemi correlati</w:t>
      </w:r>
      <w:r>
        <w:t xml:space="preserve"> </w:t>
      </w:r>
      <w:r>
        <w:t xml:space="preserve">ICD-10 (in inglese, </w:t>
      </w:r>
      <w:r>
        <w:rPr>
          <w:i/>
        </w:rPr>
        <w:t xml:space="preserve">International Statistical Classification of</w:t>
      </w:r>
      <w:r>
        <w:rPr>
          <w:i/>
        </w:rPr>
        <w:t xml:space="preserve"> </w:t>
      </w:r>
      <w:r>
        <w:rPr>
          <w:i/>
        </w:rPr>
        <w:t xml:space="preserve">Diseases, Injuries and Causes of Death</w:t>
      </w:r>
      <w:r>
        <w:t xml:space="preserve">) stilata dall’Organizzazione</w:t>
      </w:r>
      <w:r>
        <w:t xml:space="preserve"> </w:t>
      </w:r>
      <w:r>
        <w:t xml:space="preserve">Mondiale della Sanità (OMS-WHO), e’ stata condotta in base ai dati</w:t>
      </w:r>
      <w:r>
        <w:t xml:space="preserve"> </w:t>
      </w:r>
      <w:r>
        <w:t xml:space="preserve">disponibili sul data warehouse Istat per la Regione e le sue province</w:t>
      </w:r>
      <w:r>
        <w:t xml:space="preserve"> </w:t>
      </w:r>
      <w:r>
        <w:t xml:space="preserve">per il periodo 2012-2015; come popolazione di riferimento e’ stata</w:t>
      </w:r>
      <w:r>
        <w:t xml:space="preserve"> </w:t>
      </w:r>
      <w:r>
        <w:t xml:space="preserve">utilizzata quella italiana.</w:t>
      </w:r>
    </w:p>
    <w:p>
      <w:pPr>
        <w:pStyle w:val="BodyText"/>
      </w:pPr>
      <w:r>
        <w:t xml:space="preserve">La standardizzazione per eta’ si basa su una classificazione per classi</w:t>
      </w:r>
      <w:r>
        <w:t xml:space="preserve"> </w:t>
      </w:r>
      <w:r>
        <w:t xml:space="preserve">quinquennali, a eccezione della prima (0-0) e dell’ultima (95+).</w:t>
      </w:r>
    </w:p>
    <w:p>
      <w:pPr>
        <w:pStyle w:val="BodyText"/>
      </w:pPr>
      <w:r>
        <w:t xml:space="preserve">Gli SMR e gli intervalli di confidenza sono espressi in base 100 e sono</w:t>
      </w:r>
      <w:r>
        <w:t xml:space="preserve"> </w:t>
      </w:r>
      <w:r>
        <w:t xml:space="preserve">omessi qualora, per la specifica causa di decesso in esame, il numero</w:t>
      </w:r>
      <w:r>
        <w:t xml:space="preserve"> </w:t>
      </w:r>
      <w:r>
        <w:t xml:space="preserve">dei casi osservati  sia minore o uguale a cinque.</w:t>
      </w:r>
    </w:p>
    <w:p>
      <w:pPr>
        <w:pStyle w:val="BodyText"/>
      </w:pPr>
      <w:r>
        <w:t xml:space="preserve">L’SMR per l’intera popolazione e’ determinato dalla sommatoria dei</w:t>
      </w:r>
      <w:r>
        <w:t xml:space="preserve"> </w:t>
      </w:r>
      <w:r>
        <w:t xml:space="preserve">decessi osservati per maschi e femmine (a numeratore) diviso quelli</w:t>
      </w:r>
      <w:r>
        <w:t xml:space="preserve"> </w:t>
      </w:r>
      <w:r>
        <w:t xml:space="preserve">attesi (a denominatore). Ugualmente la determinazione dell’SMR</w:t>
      </w:r>
      <w:r>
        <w:t xml:space="preserve"> </w:t>
      </w:r>
      <w:r>
        <w:t xml:space="preserve">dell’intero periodo si basa sulla sommatoria, per ciascun genere, dei</w:t>
      </w:r>
      <w:r>
        <w:t xml:space="preserve"> </w:t>
      </w:r>
      <w:r>
        <w:t xml:space="preserve">decessi osservati annui (a numeratore) diviso i corrispondenti decessi</w:t>
      </w:r>
      <w:r>
        <w:t xml:space="preserve"> </w:t>
      </w:r>
      <w:r>
        <w:t xml:space="preserve">attesi annui (a denominatore).</w:t>
      </w:r>
    </w:p>
    <w:p>
      <w:pPr>
        <w:pStyle w:val="BodyText"/>
      </w:pPr>
      <w:r>
        <w:t xml:space="preserve">Gli intervalli di confidenza dei rapporti standardizzati di mortalita’</w:t>
      </w:r>
      <w:r>
        <w:t xml:space="preserve"> </w:t>
      </w:r>
      <w:r>
        <w:t xml:space="preserve">sono calcolati al 90% avvalendosi del modello di Poisson per</w:t>
      </w:r>
      <w:r>
        <w:t xml:space="preserve"> </w:t>
      </w:r>
      <w:r>
        <w:t xml:space="preserve">osservazioni inferiori o uguali a 100 casi. Per osservazioni superiori</w:t>
      </w:r>
      <w:r>
        <w:t xml:space="preserve"> </w:t>
      </w:r>
      <w:r>
        <w:t xml:space="preserve">e’ stata impiegata l’approssimazione di Byar, come da consuetudine in</w:t>
      </w:r>
      <w:r>
        <w:t xml:space="preserve"> </w:t>
      </w:r>
      <w:r>
        <w:t xml:space="preserve">questo genere di analisi.</w:t>
      </w:r>
    </w:p>
    <w:p>
      <w:pPr>
        <w:pStyle w:val="BodyText"/>
      </w:pPr>
      <w:r>
        <w:t xml:space="preserve">Applicare il modello di Poisson, maggiormente idoneo nei</w:t>
      </w:r>
      <w:r>
        <w:t xml:space="preserve"> </w:t>
      </w:r>
      <w:r>
        <w:t xml:space="preserve">“</w:t>
      </w:r>
      <w:r>
        <w:t xml:space="preserve">piccoli</w:t>
      </w:r>
      <w:r>
        <w:t xml:space="preserve"> </w:t>
      </w:r>
      <w:r>
        <w:t xml:space="preserve">numeri</w:t>
      </w:r>
      <w:r>
        <w:t xml:space="preserve">”</w:t>
      </w:r>
      <w:r>
        <w:t xml:space="preserve">, significa calcolare l’intervallo di confidenza al valore</w:t>
      </w:r>
      <w:r>
        <w:t xml:space="preserve"> </w:t>
      </w:r>
      <w:r>
        <w:t xml:space="preserve">100(1- α )% del rapporto fra decessi osservati e decessi attesi</w:t>
      </w:r>
      <w:r>
        <w:t xml:space="preserve"> </w:t>
      </w:r>
      <w:r>
        <w:t xml:space="preserve">(</w:t>
      </w:r>
      <w:r>
        <w:rPr>
          <w:i/>
        </w:rPr>
        <w:t xml:space="preserve">n.d.r. al 90% nel presente studio</w:t>
      </w:r>
      <w:r>
        <w:t xml:space="preserve">) assumendo che i decessi</w:t>
      </w:r>
      <w:r>
        <w:t xml:space="preserve"> </w:t>
      </w:r>
      <w:r>
        <w:t xml:space="preserve">osservati siano una variabile con distribuzione poissoniana; occorre</w:t>
      </w:r>
      <w:r>
        <w:t xml:space="preserve"> </w:t>
      </w:r>
      <w:r>
        <w:t xml:space="preserve">pertanto trovare l’Intervallo di Confidenza inferiore e superiore</w:t>
      </w:r>
      <w:r>
        <w:t xml:space="preserve"> </w:t>
      </w:r>
      <w:r>
        <w:t xml:space="preserve">associato allo specifico numero di decessi osservati nelle tabelle della</w:t>
      </w:r>
      <w:r>
        <w:t xml:space="preserve"> </w:t>
      </w:r>
      <w:r>
        <w:t xml:space="preserve">distribuzione di Poisson </w:t>
      </w:r>
      <w:r>
        <w:t xml:space="preserve"> </w:t>
      </w:r>
      <w:r>
        <w:rPr>
          <w:i/>
        </w:rPr>
        <w:t xml:space="preserve">( Statistics with Confidence. SAGE</w:t>
      </w:r>
      <w:r>
        <w:rPr>
          <w:i/>
        </w:rPr>
        <w:t xml:space="preserve"> </w:t>
      </w:r>
      <w:r>
        <w:rPr>
          <w:i/>
        </w:rPr>
        <w:t xml:space="preserve">Publications Ltd, 2000. doi: 10.4135/9781446218525)</w:t>
      </w:r>
      <w:r>
        <w:t xml:space="preserve"> </w:t>
      </w:r>
      <w:r>
        <w:t xml:space="preserve">per quindi</w:t>
      </w:r>
      <w:r>
        <w:t xml:space="preserve"> </w:t>
      </w:r>
      <w:r>
        <w:t xml:space="preserve">calcolare il limite inferiore e superiore dell’intervallo di confidenza</w:t>
      </w:r>
      <w:r>
        <w:t xml:space="preserve"> </w:t>
      </w:r>
      <w:r>
        <w:t xml:space="preserve">dell’SMR (rispettivamente denominati SMRInf. e SMRSup.) rapportando i</w:t>
      </w:r>
      <w:r>
        <w:t xml:space="preserve"> </w:t>
      </w:r>
      <w:r>
        <w:t xml:space="preserve">decessi osservati (</w:t>
      </w:r>
      <w:r>
        <w:rPr>
          <w:i/>
        </w:rPr>
        <w:t xml:space="preserve">Oss</w:t>
      </w:r>
      <w:r>
        <w:t xml:space="preserve">.) nel loro limite inferiore e superiore</w:t>
      </w:r>
      <w:r>
        <w:t xml:space="preserve"> </w:t>
      </w:r>
      <w:r>
        <w:t xml:space="preserve">(rispettivamente Oss.Inf. e Oss. Sup.) ai decessi attesi (</w:t>
      </w:r>
      <w:r>
        <w:rPr>
          <w:i/>
        </w:rPr>
        <w:t xml:space="preserve">Att</w:t>
      </w:r>
      <w:r>
        <w:t xml:space="preserve">.).</w:t>
      </w:r>
    </w:p>
    <w:p>
      <w:pPr>
        <w:pStyle w:val="BodyText"/>
      </w:pPr>
      <w:r>
        <w:br w:type="textWrapping"/>
      </w:r>
      <w:r>
        <w:t xml:space="preserve">In formula:</w:t>
      </w:r>
    </w:p>
    <w:p>
      <w:pPr>
        <w:pStyle w:val="BodyText"/>
      </w:pPr>
      <w:r>
        <w:br w:type="textWrapping"/>
      </w:r>
      <m:oMath>
        <m:r>
          <m:t>S</m:t>
        </m:r>
        <m:r>
          <m:t>M</m:t>
        </m:r>
        <m:sSub>
          <m:e>
            <m:r>
              <m:t>R</m:t>
            </m:r>
          </m:e>
          <m:sub>
            <m:r>
              <m:t>I</m:t>
            </m:r>
            <m:r>
              <m:t>n</m:t>
            </m:r>
            <m:r>
              <m:t>f</m:t>
            </m:r>
            <m:r>
              <m:t>.</m:t>
            </m:r>
          </m:sub>
        </m:sSub>
        <m:r>
          <m:t>=</m:t>
        </m:r>
        <m:f>
          <m:fPr>
            <m:type m:val="bar"/>
          </m:fPr>
          <m:num>
            <m:r>
              <m:t>O</m:t>
            </m:r>
            <m:r>
              <m:t>s</m:t>
            </m:r>
            <m:r>
              <m:t>s</m:t>
            </m:r>
            <m:sSub>
              <m:e>
                <m:r>
                  <m:t>.</m:t>
                </m:r>
              </m:e>
              <m:sub>
                <m:r>
                  <m:t>I</m:t>
                </m:r>
                <m:r>
                  <m:t>n</m:t>
                </m:r>
                <m:r>
                  <m:t>f</m:t>
                </m:r>
                <m:r>
                  <m:t>.</m:t>
                </m:r>
              </m:sub>
            </m:sSub>
          </m:num>
          <m:den>
            <m:r>
              <m:t>A</m:t>
            </m:r>
            <m:r>
              <m:t>t</m:t>
            </m:r>
            <m:r>
              <m:t>t</m:t>
            </m:r>
            <m:r>
              <m:t>.</m:t>
            </m:r>
          </m:den>
        </m:f>
        <m:r>
          <m:t> </m:t>
        </m:r>
      </m:oMath>
    </w:p>
    <w:p>
      <w:pPr>
        <w:pStyle w:val="BodyText"/>
      </w:pPr>
      <w:r>
        <w:t xml:space="preserve"> </w:t>
      </w:r>
    </w:p>
    <w:p>
      <w:pPr>
        <w:pStyle w:val="BodyText"/>
      </w:pPr>
      <m:oMath>
        <m:r>
          <m:t>S</m:t>
        </m:r>
        <m:r>
          <m:t>M</m:t>
        </m:r>
        <m:sSub>
          <m:e>
            <m:r>
              <m:t>R</m:t>
            </m:r>
          </m:e>
          <m:sub>
            <m:r>
              <m:t>S</m:t>
            </m:r>
            <m:r>
              <m:t>u</m:t>
            </m:r>
            <m:r>
              <m:t>p</m:t>
            </m:r>
            <m:r>
              <m:t>.</m:t>
            </m:r>
          </m:sub>
        </m:sSub>
        <m:r>
          <m:t>=</m:t>
        </m:r>
        <m:f>
          <m:fPr>
            <m:type m:val="bar"/>
          </m:fPr>
          <m:num>
            <m:r>
              <m:t>O</m:t>
            </m:r>
            <m:r>
              <m:t>s</m:t>
            </m:r>
            <m:r>
              <m:t>s</m:t>
            </m:r>
            <m:sSub>
              <m:e>
                <m:r>
                  <m:t>.</m:t>
                </m:r>
              </m:e>
              <m:sub>
                <m:r>
                  <m:t>S</m:t>
                </m:r>
                <m:r>
                  <m:t>u</m:t>
                </m:r>
                <m:r>
                  <m:t>p</m:t>
                </m:r>
                <m:r>
                  <m:t>.</m:t>
                </m:r>
              </m:sub>
            </m:sSub>
          </m:num>
          <m:den>
            <m:r>
              <m:t>A</m:t>
            </m:r>
            <m:r>
              <m:t>t</m:t>
            </m:r>
            <m:r>
              <m:t>t</m:t>
            </m:r>
            <m:r>
              <m:t>.</m:t>
            </m:r>
          </m:den>
        </m:f>
        <m:r>
          <m:t> </m:t>
        </m:r>
      </m:oMath>
    </w:p>
    <w:p>
      <w:pPr>
        <w:pStyle w:val="BodyText"/>
      </w:pPr>
      <w:r>
        <w:br w:type="textWrapping"/>
      </w:r>
      <w:r>
        <w:t xml:space="preserve">Applicare l’approssimazione di Byar significa definire il limite</w:t>
      </w:r>
      <w:r>
        <w:t xml:space="preserve"> </w:t>
      </w:r>
      <w:r>
        <w:t xml:space="preserve">inferiore e superiore dell’intervallo di confidenza dell’SMR</w:t>
      </w:r>
      <w:r>
        <w:t xml:space="preserve"> </w:t>
      </w:r>
      <w:r>
        <w:t xml:space="preserve">(rispettivamente SMRInf. e SMRSup.) applicando le seguenti formule:</w:t>
      </w:r>
    </w:p>
    <w:p>
      <w:pPr>
        <w:pStyle w:val="BodyText"/>
      </w:pPr>
      <w:r>
        <w:br w:type="textWrapping"/>
      </w:r>
      <m:oMath>
        <m:r>
          <m:t>S</m:t>
        </m:r>
        <m:r>
          <m:t>M</m:t>
        </m:r>
        <m:r>
          <m:t>R</m:t>
        </m:r>
        <m:r>
          <m:t> </m:t>
        </m:r>
        <m:r>
          <m:t>I</m:t>
        </m:r>
        <m:r>
          <m:t>n</m:t>
        </m:r>
        <m:r>
          <m:t>f</m:t>
        </m:r>
        <m:r>
          <m:t>.</m:t>
        </m:r>
        <m:r>
          <m:t>=</m:t>
        </m:r>
        <m:f>
          <m:fPr>
            <m:type m:val="bar"/>
          </m:fPr>
          <m:num>
            <m:r>
              <m:t>O</m:t>
            </m:r>
            <m:r>
              <m:t>s</m:t>
            </m:r>
            <m:r>
              <m:t>s</m:t>
            </m:r>
            <m:r>
              <m:t>.</m:t>
            </m:r>
            <m:r>
              <m:t> </m:t>
            </m:r>
            <m:r>
              <m:t>⋅</m:t>
            </m:r>
            <m:r>
              <m:t> </m:t>
            </m:r>
            <m:sSup>
              <m:e>
                <m:d>
                  <m:dPr>
                    <m:begChr m:val="("/>
                    <m:endChr m:val=")"/>
                    <m:grow/>
                  </m:dPr>
                  <m:e>
                    <m:r>
                      <m:t>1</m:t>
                    </m:r>
                    <m:r>
                      <m:t>−</m:t>
                    </m:r>
                    <m:f>
                      <m:fPr>
                        <m:type m:val="bar"/>
                      </m:fPr>
                      <m:num>
                        <m:r>
                          <m:t>1</m:t>
                        </m:r>
                      </m:num>
                      <m:den>
                        <m:r>
                          <m:t>9</m:t>
                        </m:r>
                        <m:r>
                          <m:t> </m:t>
                        </m:r>
                        <m:r>
                          <m:t>⋅</m:t>
                        </m:r>
                        <m:r>
                          <m:t> </m:t>
                        </m:r>
                        <m:r>
                          <m:t>O</m:t>
                        </m:r>
                        <m:r>
                          <m:t>s</m:t>
                        </m:r>
                        <m:r>
                          <m:t>s</m:t>
                        </m:r>
                        <m:r>
                          <m:t>.</m:t>
                        </m:r>
                      </m:den>
                    </m:f>
                    <m:r>
                      <m:t>−</m:t>
                    </m:r>
                    <m:f>
                      <m:fPr>
                        <m:type m:val="bar"/>
                      </m:fPr>
                      <m:num>
                        <m:sSub>
                          <m:e>
                            <m:r>
                              <m:t>z</m:t>
                            </m:r>
                          </m:e>
                          <m:sub>
                            <m:f>
                              <m:fPr>
                                <m:type m:val="bar"/>
                              </m:fPr>
                              <m:num>
                                <m:r>
                                  <m:t>α</m:t>
                                </m:r>
                                <m:r>
                                  <m:t> </m:t>
                                </m:r>
                              </m:num>
                              <m:den>
                                <m:r>
                                  <m:t>2</m:t>
                                </m:r>
                              </m:den>
                            </m:f>
                          </m:sub>
                        </m:sSub>
                      </m:num>
                      <m:den>
                        <m:r>
                          <m:t>3</m:t>
                        </m:r>
                        <m:r>
                          <m:t> </m:t>
                        </m:r>
                        <m:r>
                          <m:t>⋅</m:t>
                        </m:r>
                        <m:rad>
                          <m:radPr>
                            <m:degHide m:val="1"/>
                          </m:radPr>
                          <m:deg/>
                          <m:e>
                            <m:r>
                              <m:t>O</m:t>
                            </m:r>
                            <m:r>
                              <m:t>s</m:t>
                            </m:r>
                            <m:r>
                              <m:t>s</m:t>
                            </m:r>
                            <m:r>
                              <m:t>.</m:t>
                            </m:r>
                          </m:e>
                        </m:rad>
                      </m:den>
                    </m:f>
                  </m:e>
                </m:d>
              </m:e>
              <m:sup>
                <m:sSup>
                  <m:e>
                    <m:r>
                      <m:t/>
                    </m:r>
                  </m:e>
                  <m:sup>
                    <m:r>
                      <m:t>3</m:t>
                    </m:r>
                  </m:sup>
                </m:sSup>
              </m:sup>
            </m:sSup>
          </m:num>
          <m:den>
            <m:r>
              <m:t>A</m:t>
            </m:r>
            <m:r>
              <m:t>t</m:t>
            </m:r>
            <m:r>
              <m:t>t</m:t>
            </m:r>
            <m:r>
              <m:t>.</m:t>
            </m:r>
          </m:den>
        </m:f>
      </m:oMath>
    </w:p>
    <w:p>
      <w:pPr>
        <w:pStyle w:val="BodyText"/>
      </w:pPr>
      <m:oMath>
        <m:r>
          <m:t>S</m:t>
        </m:r>
        <m:r>
          <m:t>M</m:t>
        </m:r>
        <m:r>
          <m:t>R</m:t>
        </m:r>
        <m:r>
          <m:t> </m:t>
        </m:r>
        <m:r>
          <m:t>S</m:t>
        </m:r>
        <m:r>
          <m:t>u</m:t>
        </m:r>
        <m:r>
          <m:t>p</m:t>
        </m:r>
        <m:r>
          <m:t>.</m:t>
        </m:r>
        <m:r>
          <m:t>=</m:t>
        </m:r>
        <m:f>
          <m:fPr>
            <m:type m:val="bar"/>
          </m:fPr>
          <m:num>
            <m:d>
              <m:dPr>
                <m:begChr m:val="("/>
                <m:endChr m:val=")"/>
                <m:grow/>
              </m:dPr>
              <m:e>
                <m:r>
                  <m:t>O</m:t>
                </m:r>
                <m:r>
                  <m:t>s</m:t>
                </m:r>
                <m:r>
                  <m:t>s</m:t>
                </m:r>
                <m:r>
                  <m:t>.</m:t>
                </m:r>
                <m:r>
                  <m:t>+</m:t>
                </m:r>
                <m:r>
                  <m:t>1</m:t>
                </m:r>
              </m:e>
            </m:d>
            <m:r>
              <m:t>⋅</m:t>
            </m:r>
            <m:r>
              <m:t> </m:t>
            </m:r>
            <m:sSup>
              <m:e>
                <m:d>
                  <m:dPr>
                    <m:begChr m:val="("/>
                    <m:endChr m:val=")"/>
                    <m:grow/>
                  </m:dPr>
                  <m:e>
                    <m:r>
                      <m:t>1</m:t>
                    </m:r>
                    <m:r>
                      <m:t>−</m:t>
                    </m:r>
                    <m:f>
                      <m:fPr>
                        <m:type m:val="bar"/>
                      </m:fPr>
                      <m:num>
                        <m:r>
                          <m:t>1</m:t>
                        </m:r>
                      </m:num>
                      <m:den>
                        <m:r>
                          <m:t>9</m:t>
                        </m:r>
                        <m:r>
                          <m:t> </m:t>
                        </m:r>
                        <m:r>
                          <m:t>⋅</m:t>
                        </m:r>
                        <m:d>
                          <m:dPr>
                            <m:begChr m:val="("/>
                            <m:endChr m:val=")"/>
                            <m:grow/>
                          </m:dPr>
                          <m:e>
                            <m:r>
                              <m:t>O</m:t>
                            </m:r>
                            <m:r>
                              <m:t>s</m:t>
                            </m:r>
                            <m:r>
                              <m:t>s</m:t>
                            </m:r>
                            <m:r>
                              <m:t>.</m:t>
                            </m:r>
                            <m:r>
                              <m:t>+</m:t>
                            </m:r>
                            <m:r>
                              <m:t>1</m:t>
                            </m:r>
                          </m:e>
                        </m:d>
                      </m:den>
                    </m:f>
                    <m:r>
                      <m:t>+</m:t>
                    </m:r>
                    <m:f>
                      <m:fPr>
                        <m:type m:val="bar"/>
                      </m:fPr>
                      <m:num>
                        <m:sSub>
                          <m:e>
                            <m:r>
                              <m:t>z</m:t>
                            </m:r>
                          </m:e>
                          <m:sub>
                            <m:f>
                              <m:fPr>
                                <m:type m:val="bar"/>
                              </m:fPr>
                              <m:num>
                                <m:r>
                                  <m:t>α</m:t>
                                </m:r>
                              </m:num>
                              <m:den>
                                <m:r>
                                  <m:t>2</m:t>
                                </m:r>
                              </m:den>
                            </m:f>
                          </m:sub>
                        </m:sSub>
                      </m:num>
                      <m:den>
                        <m:r>
                          <m:t>3</m:t>
                        </m:r>
                        <m:r>
                          <m:t> </m:t>
                        </m:r>
                        <m:r>
                          <m:t>⋅</m:t>
                        </m:r>
                        <m:rad>
                          <m:radPr>
                            <m:degHide m:val="1"/>
                          </m:radPr>
                          <m:deg/>
                          <m:e>
                            <m:d>
                              <m:dPr>
                                <m:begChr m:val="("/>
                                <m:endChr m:val=")"/>
                                <m:grow/>
                              </m:dPr>
                              <m:e>
                                <m:r>
                                  <m:t>O</m:t>
                                </m:r>
                                <m:r>
                                  <m:t>s</m:t>
                                </m:r>
                                <m:r>
                                  <m:t>s</m:t>
                                </m:r>
                                <m:r>
                                  <m:t>.</m:t>
                                </m:r>
                                <m:r>
                                  <m:t>+</m:t>
                                </m:r>
                                <m:r>
                                  <m:t>1</m:t>
                                </m:r>
                              </m:e>
                            </m:d>
                          </m:e>
                        </m:rad>
                      </m:den>
                    </m:f>
                  </m:e>
                </m:d>
              </m:e>
              <m:sup>
                <m:sSup>
                  <m:e>
                    <m:r>
                      <m:t/>
                    </m:r>
                  </m:e>
                  <m:sup>
                    <m:r>
                      <m:t>3</m:t>
                    </m:r>
                  </m:sup>
                </m:sSup>
              </m:sup>
            </m:sSup>
          </m:num>
          <m:den>
            <m:r>
              <m:t>A</m:t>
            </m:r>
            <m:r>
              <m:t>t</m:t>
            </m:r>
            <m:r>
              <m:t>t</m:t>
            </m:r>
            <m:r>
              <m:t>.</m:t>
            </m:r>
          </m:den>
        </m:f>
      </m:oMath>
    </w:p>
    <w:p>
      <w:pPr>
        <w:pStyle w:val="BodyText"/>
      </w:pPr>
      <w:r>
        <w:t xml:space="preserve">Con z α /2 equivalente al 100(1- α ) percentile della N(0,1).</w:t>
      </w:r>
    </w:p>
    <w:p>
      <w:pPr>
        <w:pStyle w:val="BodyText"/>
      </w:pPr>
      <w:r>
        <w:br w:type="textWrapping"/>
      </w:r>
      <w:r>
        <w:t xml:space="preserve">I risultati degli intervalli di confidenza con l’approssimazione di Byar</w:t>
      </w:r>
      <w:r>
        <w:t xml:space="preserve"> </w:t>
      </w:r>
      <w:r>
        <w:t xml:space="preserve">sono anche ottenibili utilizzando il software per statistiche</w:t>
      </w:r>
      <w:r>
        <w:t xml:space="preserve"> </w:t>
      </w:r>
      <w:r>
        <w:t xml:space="preserve">epidemiologiche open source denominato Openepi, che è stato in parte</w:t>
      </w:r>
      <w:r>
        <w:t xml:space="preserve"> </w:t>
      </w:r>
      <w:r>
        <w:t xml:space="preserve">sostenuto dalla donazione della Bill e Melinda Gates</w:t>
      </w:r>
      <w:r>
        <w:t xml:space="preserve"> </w:t>
      </w:r>
      <w:r>
        <w:t xml:space="preserve">Foundation</w:t>
      </w:r>
      <w:hyperlink r:id="rId25">
        <w:r>
          <w:rPr>
            <w:rStyle w:val="Hyperlink"/>
          </w:rPr>
          <w:t xml:space="preserve"> </w:t>
        </w:r>
      </w:hyperlink>
      <w:r>
        <w:t xml:space="preserve">alla Emory</w:t>
      </w:r>
      <w:r>
        <w:t xml:space="preserve"> </w:t>
      </w:r>
      <w:r>
        <w:t xml:space="preserve">University, Rollins School of Public Health, per come concepito sotto il</w:t>
      </w:r>
      <w:r>
        <w:t xml:space="preserve"> </w:t>
      </w:r>
      <w:r>
        <w:t xml:space="preserve">profilo statistico da Minn M. Soe e Kevin M. Sullivan della Emory</w:t>
      </w:r>
      <w:r>
        <w:t xml:space="preserve"> </w:t>
      </w:r>
      <w:r>
        <w:t xml:space="preserve">University e nell’interfaccia da Andrew G. Dean, EpiInformatics.com, e</w:t>
      </w:r>
      <w:r>
        <w:t xml:space="preserve"> </w:t>
      </w:r>
      <w:r>
        <w:t xml:space="preserve">da Roger A. Mir. </w:t>
      </w:r>
    </w:p>
    <w:p>
      <w:pPr>
        <w:pStyle w:val="BodyText"/>
      </w:pPr>
      <w:r>
        <w:t xml:space="preserve">A titolo esemplificativo si esplicita come un rapporto superiore a 100</w:t>
      </w:r>
      <w:r>
        <w:t xml:space="preserve"> </w:t>
      </w:r>
      <w:r>
        <w:t xml:space="preserve">esprima quindi che nel territorio in analisi vi sia una maggiore</w:t>
      </w:r>
      <w:r>
        <w:t xml:space="preserve"> </w:t>
      </w:r>
      <w:r>
        <w:t xml:space="preserve">mortalità rispetto a quella di riferimento (del 10% in caso di SMR pari</w:t>
      </w:r>
      <w:r>
        <w:t xml:space="preserve"> </w:t>
      </w:r>
      <w:r>
        <w:t xml:space="preserve">a 110).</w:t>
      </w:r>
    </w:p>
    <w:p>
      <w:pPr>
        <w:pStyle w:val="BodyText"/>
      </w:pPr>
      <w:r>
        <w:t xml:space="preserve">Sotto il profilo grafico, in modo da rendere maggiormente visibili i</w:t>
      </w:r>
      <w:r>
        <w:t xml:space="preserve"> </w:t>
      </w:r>
      <w:r>
        <w:t xml:space="preserve">risultati, gli SMR (IC90%) sono evidenziati nelle tabelle con i</w:t>
      </w:r>
      <w:r>
        <w:t xml:space="preserve"> </w:t>
      </w:r>
      <w:r>
        <w:t xml:space="preserve">seguenti colori di sfondo:</w:t>
      </w:r>
    </w:p>
    <w:p>
      <w:pPr>
        <w:pStyle w:val="BodyText"/>
      </w:pPr>
      <w:r>
        <w:t xml:space="preserve">• rosso scuro, qualora l’SMR sia maggiore di 100 con significativita’</w:t>
      </w:r>
      <w:r>
        <w:t xml:space="preserve"> </w:t>
      </w:r>
      <w:r>
        <w:t xml:space="preserve">statistica (ovvero con limite inferiore dell’intervallo di confidenza</w:t>
      </w:r>
      <w:r>
        <w:t xml:space="preserve"> </w:t>
      </w:r>
      <w:r>
        <w:t xml:space="preserve">maggiore di 100);</w:t>
      </w:r>
    </w:p>
    <w:p>
      <w:pPr>
        <w:pStyle w:val="BodyText"/>
      </w:pPr>
      <w:r>
        <w:t xml:space="preserve">• rosso chiaro, qualora l’SMR sia maggiore di 100 con limite inferiore</w:t>
      </w:r>
      <w:r>
        <w:t xml:space="preserve"> </w:t>
      </w:r>
      <w:r>
        <w:t xml:space="preserve">dell’intervallo di confidenza minore o uguale a 100;</w:t>
      </w:r>
    </w:p>
    <w:p>
      <w:pPr>
        <w:pStyle w:val="BodyText"/>
      </w:pPr>
      <w:r>
        <w:t xml:space="preserve">• grigio: qualora l’SMR sia uguale ad 100;</w:t>
      </w:r>
    </w:p>
    <w:p>
      <w:pPr>
        <w:pStyle w:val="BodyText"/>
      </w:pPr>
      <w:r>
        <w:t xml:space="preserve">• verde chiaro, qualora l’SMR sia minore di 100 con limite superiore</w:t>
      </w:r>
      <w:r>
        <w:t xml:space="preserve"> </w:t>
      </w:r>
      <w:r>
        <w:t xml:space="preserve">dell’intervallo di confidenza superiore o uguale a 100;</w:t>
      </w:r>
    </w:p>
    <w:p>
      <w:pPr>
        <w:pStyle w:val="BodyText"/>
      </w:pPr>
      <w:r>
        <w:t xml:space="preserve">• verde scuro: qualora l’SMR sia minore di 100 con significativita’</w:t>
      </w:r>
      <w:r>
        <w:t xml:space="preserve"> </w:t>
      </w:r>
      <w:r>
        <w:t xml:space="preserve">statistica (ovvero con limite superiore dell’intervallo di confidenza</w:t>
      </w:r>
      <w:r>
        <w:t xml:space="preserve"> </w:t>
      </w:r>
      <w:r>
        <w:t xml:space="preserve">minore di 100).</w:t>
      </w:r>
    </w:p>
    <w:p>
      <w:pPr>
        <w:pStyle w:val="Heading1"/>
      </w:pPr>
      <w:bookmarkStart w:id="26" w:name="risultati"/>
      <w:bookmarkEnd w:id="26"/>
      <w:r>
        <w:t xml:space="preserve">Risultati</w:t>
      </w:r>
    </w:p>
    <w:p>
      <w:pPr>
        <w:pStyle w:val="Heading2"/>
      </w:pPr>
      <w:bookmarkStart w:id="27" w:name="risultati-dellanalisi-per-cause-di-decesso-a-livello-regionale-e-provinciale"/>
      <w:bookmarkEnd w:id="27"/>
      <w:r>
        <w:t xml:space="preserve">Risultati dell’analisi per cause di decesso a livello</w:t>
      </w:r>
      <w:r>
        <w:t xml:space="preserve"> </w:t>
      </w:r>
      <w:r>
        <w:t xml:space="preserve">regionale e</w:t>
      </w:r>
      <w:r>
        <w:t xml:space="preserve"> </w:t>
      </w:r>
      <w:r>
        <w:t xml:space="preserve">provinciale</w:t>
      </w:r>
    </w:p>
    <w:p>
      <w:pPr>
        <w:pStyle w:val="FirstParagraph"/>
      </w:pPr>
      <w:r>
        <w:t xml:space="preserve">Nelle seguenti figure, per la Regione Basilicata, la Provincia di</w:t>
      </w:r>
      <w:r>
        <w:t xml:space="preserve"> </w:t>
      </w:r>
      <w:r>
        <w:t xml:space="preserve">Potenza e la Provincia di Matera per il periodo 2012-2015 sono</w:t>
      </w:r>
      <w:r>
        <w:t xml:space="preserve"> </w:t>
      </w:r>
      <w:r>
        <w:t xml:space="preserve">evidenziati, per genere e per l’intera popolazione, i risultati in</w:t>
      </w:r>
      <w:r>
        <w:t xml:space="preserve"> </w:t>
      </w:r>
      <w:r>
        <w:t xml:space="preserve">termini di: decessi osservati per causa di morte, decessi attesi</w:t>
      </w:r>
      <w:r>
        <w:t xml:space="preserve"> </w:t>
      </w:r>
      <w:r>
        <w:t xml:space="preserve">rispetto al riferimento nazionale, rapporti standardizzati di mortalità</w:t>
      </w:r>
      <w:r>
        <w:t xml:space="preserve"> </w:t>
      </w:r>
      <w:r>
        <w:t xml:space="preserve">con intervalli di confidenza al 90%, delta medio annuo fra decessi</w:t>
      </w:r>
      <w:r>
        <w:t xml:space="preserve"> </w:t>
      </w:r>
      <w:r>
        <w:t xml:space="preserve">osservati ed attesi.</w:t>
      </w:r>
    </w:p>
    <w:p>
      <w:pPr>
        <w:pStyle w:val="BodyText"/>
      </w:pPr>
      <w:r>
        <w:t xml:space="preserve">Le tabelle sono scaricabili al link:</w:t>
      </w:r>
    </w:p>
    <w:p>
      <w:pPr>
        <w:pStyle w:val="BodyText"/>
      </w:pPr>
      <w:hyperlink r:id="rId28">
        <w:r>
          <w:rPr>
            <w:rStyle w:val="Hyperlink"/>
          </w:rPr>
          <w:t xml:space="preserve">https://www.authorea.com/users/228569/articles/291461/master/file/bibliography/2012-15%20smr%20x%20patologie%20prov%20PZ%20e%20MT%20e%20BASILICATA.pdf</w:t>
        </w:r>
      </w:hyperlink>
      <w:r>
        <w:t xml:space="preserve"> </w:t>
      </w:r>
    </w:p>
    <w:p>
      <w:pPr>
        <w:pStyle w:val="BodyText"/>
      </w:pPr>
      <w:r>
        <w:br w:type="textWrapping"/>
      </w:r>
      <w:r>
        <w:br w:type="textWrapping"/>
      </w:r>
    </w:p>
    <w:p>
      <w:pPr>
        <w:pStyle w:val="FigureWithCaption"/>
      </w:pPr>
      <w:r>
        <w:drawing>
          <wp:inline>
            <wp:extent cx="4177492" cy="4807480"/>
            <wp:effectExtent b="0" l="0" r="0" t="0"/>
            <wp:docPr descr="Analisi mortalità Regione Basilicata: decessi osservati, decessi attesi, Rapporto Standardizzato di mortalità con intervalli di confidenza al 90% - SMR (IC90%), delta medio annuo decessi osservati - attesi. Periodo 2012-2015, riferimento nazionale. Parte prima. " title="" id="1" name="Picture"/>
            <a:graphic>
              <a:graphicData uri="http://schemas.openxmlformats.org/drawingml/2006/picture">
                <pic:pic>
                  <pic:nvPicPr>
                    <pic:cNvPr descr="figures/0001/2012-15-smr-x-patologie-prov-PZ-e-MT-e-BASILICATA-v2-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480748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rPr>
          <w:i/>
        </w:rPr>
        <w:t xml:space="preserve">Analisi mortalità Regione</w:t>
      </w:r>
      <w:r>
        <w:t xml:space="preserve"> </w:t>
      </w:r>
      <w:r>
        <w:rPr>
          <w:i/>
          <w:b/>
        </w:rPr>
        <w:t xml:space="preserve">Basilicata</w:t>
      </w:r>
      <w:r>
        <w:rPr>
          <w:i/>
        </w:rPr>
        <w:t xml:space="preserve">:</w:t>
      </w:r>
      <w:r>
        <w:rPr>
          <w:i/>
        </w:rPr>
        <w:t xml:space="preserve"> </w:t>
      </w:r>
      <w:r>
        <w:rPr>
          <w:i/>
        </w:rPr>
        <w:t xml:space="preserve">decessi osservati, decessi attesi, Rapporto Standardizzato di mortalità</w:t>
      </w:r>
      <w:r>
        <w:rPr>
          <w:i/>
        </w:rPr>
        <w:t xml:space="preserve"> </w:t>
      </w:r>
      <w:r>
        <w:rPr>
          <w:i/>
        </w:rPr>
        <w:t xml:space="preserve">con intervalli di confidenza al 90% - SMR (IC90%), delta medio annuo</w:t>
      </w:r>
      <w:r>
        <w:rPr>
          <w:i/>
        </w:rPr>
        <w:t xml:space="preserve"> </w:t>
      </w:r>
      <w:r>
        <w:rPr>
          <w:i/>
        </w:rPr>
        <w:t xml:space="preserve">decessi osservati - attesi. Periodo 2012-2015, riferimento nazionale.</w:t>
      </w:r>
      <w:r>
        <w:rPr>
          <w:i/>
        </w:rPr>
        <w:t xml:space="preserve"> </w:t>
      </w:r>
      <w:r>
        <w:rPr>
          <w:i/>
        </w:rPr>
        <w:t xml:space="preserve">Parte prima.</w:t>
      </w:r>
      <w:r>
        <w:t xml:space="preserve"> </w:t>
      </w:r>
    </w:p>
    <w:p>
      <w:pPr>
        <w:pStyle w:val="FigureWithCaption"/>
      </w:pPr>
      <w:r>
        <w:drawing>
          <wp:inline>
            <wp:extent cx="4177492" cy="4948157"/>
            <wp:effectExtent b="0" l="0" r="0" t="0"/>
            <wp:docPr descr="Analisi mortalità Regione Basilicata: decessi osservati, decessi attesi, Rapporto Standardizzato di mortalità con intervalli di confidenza al 90% - SMR (IC90%), delta medio annuo decessi osservati - attesi. Periodo 2012-2015, riferimento nazionale. Parte seconda. " title="" id="1" name="Picture"/>
            <a:graphic>
              <a:graphicData uri="http://schemas.openxmlformats.org/drawingml/2006/picture">
                <pic:pic>
                  <pic:nvPicPr>
                    <pic:cNvPr descr="figures/2012-15-smr-x-patologie-prov-PZ-e-MT-e-BASILICATA-v2-6/2012-15-smr-x-patologie-prov-PZ-e-MT-e-BASILICATA-v2-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49481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rPr>
          <w:i/>
        </w:rPr>
        <w:t xml:space="preserve">Analisi mortalità Regione</w:t>
      </w:r>
      <w:r>
        <w:t xml:space="preserve"> </w:t>
      </w:r>
      <w:r>
        <w:rPr>
          <w:i/>
          <w:b/>
        </w:rPr>
        <w:t xml:space="preserve">Basilicata</w:t>
      </w:r>
      <w:r>
        <w:rPr>
          <w:i/>
        </w:rPr>
        <w:t xml:space="preserve">:</w:t>
      </w:r>
      <w:r>
        <w:rPr>
          <w:i/>
        </w:rPr>
        <w:t xml:space="preserve"> </w:t>
      </w:r>
      <w:r>
        <w:rPr>
          <w:i/>
        </w:rPr>
        <w:t xml:space="preserve">decessi osservati, decessi attesi, Rapporto Standardizzato di mortalità</w:t>
      </w:r>
      <w:r>
        <w:rPr>
          <w:i/>
        </w:rPr>
        <w:t xml:space="preserve"> </w:t>
      </w:r>
      <w:r>
        <w:rPr>
          <w:i/>
        </w:rPr>
        <w:t xml:space="preserve">con intervalli di confidenza al 90% - SMR (IC90%), delta medio annuo</w:t>
      </w:r>
      <w:r>
        <w:rPr>
          <w:i/>
        </w:rPr>
        <w:t xml:space="preserve"> </w:t>
      </w:r>
      <w:r>
        <w:rPr>
          <w:i/>
        </w:rPr>
        <w:t xml:space="preserve">decessi osservati - attesi. Periodo 2012-2015, riferimento nazionale.</w:t>
      </w:r>
      <w:r>
        <w:rPr>
          <w:i/>
        </w:rPr>
        <w:t xml:space="preserve"> </w:t>
      </w:r>
      <w:r>
        <w:rPr>
          <w:i/>
        </w:rPr>
        <w:t xml:space="preserve">Parte seconda.</w:t>
      </w:r>
      <w:r>
        <w:t xml:space="preserve"> </w:t>
      </w:r>
    </w:p>
    <w:p>
      <w:pPr>
        <w:pStyle w:val="FigureWithCaption"/>
      </w:pPr>
      <w:r>
        <w:drawing>
          <wp:inline>
            <wp:extent cx="4177492" cy="4813597"/>
            <wp:effectExtent b="0" l="0" r="0" t="0"/>
            <wp:docPr descr=" Analisi mortalità provincia di Potenza:decessi osservati, decessi attesi, Rapporto Standardizzato di mortalità con intervalli di confidenza al 90% - SMR (IC90%), delta medio annuo decessi osservati - attesi. Periodo 2012-2015, riferimento nazionale. Parte prima. " title="" id="1" name="Picture"/>
            <a:graphic>
              <a:graphicData uri="http://schemas.openxmlformats.org/drawingml/2006/picture">
                <pic:pic>
                  <pic:nvPicPr>
                    <pic:cNvPr descr="figures/2012-15-smr-x-patologie-prov-PZ-1-di-2/2012-15-smr-x-patologie-prov-PZ-1-di-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48135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 </w:t>
      </w:r>
      <w:r>
        <w:rPr>
          <w:i/>
        </w:rPr>
        <w:t xml:space="preserve">Analisi mortalità provincia</w:t>
      </w:r>
      <w:r>
        <w:rPr>
          <w:i/>
        </w:rPr>
        <w:t xml:space="preserve"> </w:t>
      </w:r>
      <w:r>
        <w:rPr>
          <w:i/>
        </w:rPr>
        <w:t xml:space="preserve">di </w:t>
      </w:r>
      <w:r>
        <w:rPr>
          <w:i/>
          <w:b/>
        </w:rPr>
        <w:t xml:space="preserve">Potenza</w:t>
      </w:r>
      <w:r>
        <w:rPr>
          <w:i/>
        </w:rPr>
        <w:t xml:space="preserve">:decessi osservati, decessi attesi,</w:t>
      </w:r>
      <w:r>
        <w:rPr>
          <w:i/>
        </w:rPr>
        <w:t xml:space="preserve"> </w:t>
      </w:r>
      <w:r>
        <w:rPr>
          <w:i/>
        </w:rPr>
        <w:t xml:space="preserve">Rapporto Standardizzato di mortalità con intervalli di confidenza al</w:t>
      </w:r>
      <w:r>
        <w:rPr>
          <w:i/>
        </w:rPr>
        <w:t xml:space="preserve"> </w:t>
      </w:r>
      <w:r>
        <w:rPr>
          <w:i/>
        </w:rPr>
        <w:t xml:space="preserve">90% - SMR (IC90%), delta medio annuo decessi osservati - attesi.</w:t>
      </w:r>
      <w:r>
        <w:rPr>
          <w:i/>
        </w:rPr>
        <w:t xml:space="preserve"> </w:t>
      </w:r>
      <w:r>
        <w:rPr>
          <w:i/>
        </w:rPr>
        <w:t xml:space="preserve">Periodo 2012-2015, riferimento nazionale. Parte prima.</w:t>
      </w:r>
      <w:r>
        <w:t xml:space="preserve"> </w:t>
      </w:r>
    </w:p>
    <w:p>
      <w:pPr>
        <w:pStyle w:val="FigureWithCaption"/>
      </w:pPr>
      <w:r>
        <w:drawing>
          <wp:inline>
            <wp:extent cx="4177492" cy="4938983"/>
            <wp:effectExtent b="0" l="0" r="0" t="0"/>
            <wp:docPr descr=" Analisi mortalità provincia di Potenza:decessi osservati, decessi attesi, Rapporto Standardizzato di mortalità con intervalli di confidenza al 90% - SMR (IC90%), delta medio annuo decessi osservati - attesi. Periodo 2012-2015, riferimento nazionale. Parte seconda. " title="" id="1" name="Picture"/>
            <a:graphic>
              <a:graphicData uri="http://schemas.openxmlformats.org/drawingml/2006/picture">
                <pic:pic>
                  <pic:nvPicPr>
                    <pic:cNvPr descr="figures/2012-15-smr-x-patologie-prov-PZ-2-di-2/2012-15-smr-x-patologie-prov-PZ-2-di-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493898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 </w:t>
      </w:r>
      <w:r>
        <w:rPr>
          <w:i/>
        </w:rPr>
        <w:t xml:space="preserve">Analisi mortalità provincia</w:t>
      </w:r>
      <w:r>
        <w:rPr>
          <w:i/>
        </w:rPr>
        <w:t xml:space="preserve"> </w:t>
      </w:r>
      <w:r>
        <w:rPr>
          <w:i/>
        </w:rPr>
        <w:t xml:space="preserve">di </w:t>
      </w:r>
      <w:r>
        <w:rPr>
          <w:i/>
          <w:b/>
        </w:rPr>
        <w:t xml:space="preserve">Potenza</w:t>
      </w:r>
      <w:r>
        <w:rPr>
          <w:i/>
        </w:rPr>
        <w:t xml:space="preserve">:decessi osservati, decessi attesi,</w:t>
      </w:r>
      <w:r>
        <w:rPr>
          <w:i/>
        </w:rPr>
        <w:t xml:space="preserve"> </w:t>
      </w:r>
      <w:r>
        <w:rPr>
          <w:i/>
        </w:rPr>
        <w:t xml:space="preserve">Rapporto Standardizzato di mortalità con intervalli di confidenza al</w:t>
      </w:r>
      <w:r>
        <w:rPr>
          <w:i/>
        </w:rPr>
        <w:t xml:space="preserve"> </w:t>
      </w:r>
      <w:r>
        <w:rPr>
          <w:i/>
        </w:rPr>
        <w:t xml:space="preserve">90% - SMR (IC90%), delta medio annuo decessi osservati - attesi.</w:t>
      </w:r>
      <w:r>
        <w:rPr>
          <w:i/>
        </w:rPr>
        <w:t xml:space="preserve"> </w:t>
      </w:r>
      <w:r>
        <w:rPr>
          <w:i/>
        </w:rPr>
        <w:t xml:space="preserve">Periodo 2012-2015, riferimento nazionale. Parte seconda.</w:t>
      </w:r>
      <w:r>
        <w:t xml:space="preserve"> </w:t>
      </w:r>
    </w:p>
    <w:p>
      <w:pPr>
        <w:pStyle w:val="FigureWithCaption"/>
      </w:pPr>
      <w:r>
        <w:drawing>
          <wp:inline>
            <wp:extent cx="4177492" cy="4825830"/>
            <wp:effectExtent b="0" l="0" r="0" t="0"/>
            <wp:docPr descr="Analisi mortalità provincia di Matera: decessi osservati, decessi attesi, Rapporto Standardizzato di mortalità con intervalli di confidenza al 90% - SMR (IC90%), delta medio annuo decessi osservati - attesi. Periodo 2012-2015, riferimento nazionale. Parte prima. " title="" id="1" name="Picture"/>
            <a:graphic>
              <a:graphicData uri="http://schemas.openxmlformats.org/drawingml/2006/picture">
                <pic:pic>
                  <pic:nvPicPr>
                    <pic:cNvPr descr="figures/2012-15-smr-x-patologie-prov-MT-2-di-2/2012-15-smr-x-patologie-prov-MT-1-di-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482583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rPr>
          <w:i/>
        </w:rPr>
        <w:t xml:space="preserve">Analisi mortalità provincia di </w:t>
      </w:r>
      <w:r>
        <w:rPr>
          <w:i/>
          <w:b/>
        </w:rPr>
        <w:t xml:space="preserve">Matera</w:t>
      </w:r>
      <w:r>
        <w:rPr>
          <w:i/>
        </w:rPr>
        <w:t xml:space="preserve">:</w:t>
      </w:r>
      <w:r>
        <w:rPr>
          <w:i/>
        </w:rPr>
        <w:t xml:space="preserve"> </w:t>
      </w:r>
      <w:r>
        <w:rPr>
          <w:i/>
        </w:rPr>
        <w:t xml:space="preserve">decessi osservati, decessi attesi, Rapporto Standardizzato di mortalità</w:t>
      </w:r>
      <w:r>
        <w:rPr>
          <w:i/>
        </w:rPr>
        <w:t xml:space="preserve"> </w:t>
      </w:r>
      <w:r>
        <w:rPr>
          <w:i/>
        </w:rPr>
        <w:t xml:space="preserve">con intervalli di confidenza al 90% - SMR (IC90%), delta medio annuo</w:t>
      </w:r>
      <w:r>
        <w:rPr>
          <w:i/>
        </w:rPr>
        <w:t xml:space="preserve"> </w:t>
      </w:r>
      <w:r>
        <w:rPr>
          <w:i/>
        </w:rPr>
        <w:t xml:space="preserve">decessi osservati - attesi. Periodo 2012-2015, riferimento nazionale.</w:t>
      </w:r>
      <w:r>
        <w:rPr>
          <w:i/>
        </w:rPr>
        <w:t xml:space="preserve"> </w:t>
      </w:r>
      <w:r>
        <w:rPr>
          <w:i/>
        </w:rPr>
        <w:t xml:space="preserve">Parte prima.</w:t>
      </w:r>
      <w:r>
        <w:t xml:space="preserve"> </w:t>
      </w:r>
    </w:p>
    <w:p>
      <w:pPr>
        <w:pStyle w:val="FigureWithCaption"/>
      </w:pPr>
      <w:r>
        <w:drawing>
          <wp:inline>
            <wp:extent cx="4177492" cy="4880877"/>
            <wp:effectExtent b="0" l="0" r="0" t="0"/>
            <wp:docPr descr=" Analisi mortalità provincia di Matera: decessi osservati, decessi attesi, Rapporto Standardizzato di mortalità con intervalli di confidenza al 90% - SMR (IC90%), delta medio annuo decessi osservati - attesi. Periodo 2012-2015, riferimento nazionale. Parte seconda. " title="" id="1" name="Picture"/>
            <a:graphic>
              <a:graphicData uri="http://schemas.openxmlformats.org/drawingml/2006/picture">
                <pic:pic>
                  <pic:nvPicPr>
                    <pic:cNvPr descr="figures/2012-15-smr-x-patologie-prov-MT-1-di-2/2012-15-smr-x-patologie-prov-MT-2-di-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48808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 </w:t>
      </w:r>
      <w:r>
        <w:rPr>
          <w:i/>
        </w:rPr>
        <w:t xml:space="preserve">Analisi mortalità provincia di </w:t>
      </w:r>
      <w:r>
        <w:rPr>
          <w:i/>
          <w:b/>
        </w:rPr>
        <w:t xml:space="preserve">Matera</w:t>
      </w:r>
      <w:r>
        <w:rPr>
          <w:i/>
        </w:rPr>
        <w:t xml:space="preserve">:</w:t>
      </w:r>
      <w:r>
        <w:rPr>
          <w:i/>
        </w:rPr>
        <w:t xml:space="preserve"> </w:t>
      </w:r>
      <w:r>
        <w:rPr>
          <w:i/>
        </w:rPr>
        <w:t xml:space="preserve">decessi osservati, decessi attesi, Rapporto Standardizzato di mortalità</w:t>
      </w:r>
      <w:r>
        <w:rPr>
          <w:i/>
        </w:rPr>
        <w:t xml:space="preserve"> </w:t>
      </w:r>
      <w:r>
        <w:rPr>
          <w:i/>
        </w:rPr>
        <w:t xml:space="preserve">con intervalli di confidenza al 90% - SMR (IC90%), delta medio annuo</w:t>
      </w:r>
      <w:r>
        <w:rPr>
          <w:i/>
        </w:rPr>
        <w:t xml:space="preserve"> </w:t>
      </w:r>
      <w:r>
        <w:rPr>
          <w:i/>
        </w:rPr>
        <w:t xml:space="preserve">decessi osservati - attesi. Periodo 2012-2015, riferimento nazionale.</w:t>
      </w:r>
      <w:r>
        <w:rPr>
          <w:i/>
        </w:rPr>
        <w:t xml:space="preserve"> </w:t>
      </w:r>
      <w:r>
        <w:rPr>
          <w:i/>
        </w:rPr>
        <w:t xml:space="preserve">Parte seconda.</w:t>
      </w:r>
      <w:r>
        <w:t xml:space="preserve"> </w:t>
      </w:r>
    </w:p>
    <w:p>
      <w:pPr>
        <w:pStyle w:val="Heading2"/>
      </w:pPr>
      <w:bookmarkStart w:id="35" w:name="risultati-dellanalisi-sulla-mortalità-complessiva-a-livello-regionale-provinciale-e-comunale"/>
      <w:bookmarkEnd w:id="35"/>
      <w:r>
        <w:t xml:space="preserve">Risultati dell’analisi sulla mortalità complessiva a livello</w:t>
      </w:r>
      <w:r>
        <w:t xml:space="preserve"> </w:t>
      </w:r>
      <w:r>
        <w:t xml:space="preserve">regionale, provinciale e</w:t>
      </w:r>
      <w:r>
        <w:t xml:space="preserve"> </w:t>
      </w:r>
      <w:r>
        <w:t xml:space="preserve">comunale</w:t>
      </w:r>
    </w:p>
    <w:p>
      <w:pPr>
        <w:pStyle w:val="FirstParagraph"/>
      </w:pPr>
      <w:r>
        <w:t xml:space="preserve">Nei grafici seguenti si evidenzia il Tasso standardizzato di mortalità</w:t>
      </w:r>
      <w:r>
        <w:t xml:space="preserve"> </w:t>
      </w:r>
      <w:r>
        <w:t xml:space="preserve">per 10.000 abitanti di Italia, Basilicata, Provincia di Potenza e</w:t>
      </w:r>
      <w:r>
        <w:t xml:space="preserve"> </w:t>
      </w:r>
      <w:r>
        <w:t xml:space="preserve">Provincia di Matera per maschi e femmine. Riferimento popolazione</w:t>
      </w:r>
      <w:r>
        <w:t xml:space="preserve"> </w:t>
      </w:r>
      <w:r>
        <w:t xml:space="preserve">standard europea. Anni 2012-2016.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3483282" cy="1789043"/>
            <wp:effectExtent b="0" l="0" r="0" t="0"/>
            <wp:docPr descr="Tasso standardizzato di mortalità (SDR) per 10.000 abitanti: Italia, Basilicata, Prov. Potenza, Prov Matera. Anni 2012-2016. Riferimento Popolazione standard europea EU-27 plus EFTA proiezione 2011-30. Maschi " title="" id="1" name="Picture"/>
            <a:graphic>
              <a:graphicData uri="http://schemas.openxmlformats.org/drawingml/2006/picture">
                <pic:pic>
                  <pic:nvPicPr>
                    <pic:cNvPr descr="figures/sdr-m-2012-2016-1/sdr-m-2012-2016-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282" cy="17890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Tasso standardizzato di mortalità (SDR) per 10.000 abitanti: Italia,</w:t>
      </w:r>
      <w:r>
        <w:t xml:space="preserve"> </w:t>
      </w:r>
      <w:r>
        <w:t xml:space="preserve">Basilicata, Prov. Potenza, Prov Matera. Anni 2012-2016. Riferimento</w:t>
      </w:r>
      <w:r>
        <w:t xml:space="preserve"> </w:t>
      </w:r>
      <w:r>
        <w:t xml:space="preserve">Popolazione standard europea EU-27 plus EFTA proiezione 2011-30. Maschi</w:t>
      </w:r>
      <w:r>
        <w:t xml:space="preserve"> </w:t>
      </w:r>
    </w:p>
    <w:p>
      <w:pPr>
        <w:pStyle w:val="FigureWithCaption"/>
      </w:pPr>
      <w:r>
        <w:drawing>
          <wp:inline>
            <wp:extent cx="3486341" cy="1776810"/>
            <wp:effectExtent b="0" l="0" r="0" t="0"/>
            <wp:docPr descr="Tasso standardizzato di mortalità (SDR) per 10.000 abitanti: Italia, Basilicata, Prov. Potenza, Prov Matera. Anni 2012-2016. Riferimento Popolazione standard europea EU-27 plus EFTA proiezione 2011-30. Femmine. " title="" id="1" name="Picture"/>
            <a:graphic>
              <a:graphicData uri="http://schemas.openxmlformats.org/drawingml/2006/picture">
                <pic:pic>
                  <pic:nvPicPr>
                    <pic:cNvPr descr="figures/sdr-f-2012-2016-1/sdr-f-2012-2016-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341" cy="17768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Tasso standardizzato di mortalità (SDR) per 10.000 abitanti: Italia,</w:t>
      </w:r>
      <w:r>
        <w:t xml:space="preserve"> </w:t>
      </w:r>
      <w:r>
        <w:t xml:space="preserve">Basilicata, Prov. Potenza, Prov Matera. Anni 2012-2016. Riferimento</w:t>
      </w:r>
      <w:r>
        <w:t xml:space="preserve"> </w:t>
      </w:r>
      <w:r>
        <w:t xml:space="preserve">Popolazione standard europea EU-27 plus EFTA proiezione 2011-30.</w:t>
      </w:r>
      <w:r>
        <w:t xml:space="preserve"> </w:t>
      </w:r>
      <w:r>
        <w:t xml:space="preserve">Femmine.</w:t>
      </w:r>
      <w:r>
        <w:t xml:space="preserve"> </w:t>
      </w:r>
    </w:p>
    <w:p>
      <w:pPr>
        <w:pStyle w:val="BodyText"/>
      </w:pPr>
      <w:r>
        <w:t xml:space="preserve">Nelle tabelle, sotto riportate come Fig. nn. da 9 a 17, sono evidenziati</w:t>
      </w:r>
      <w:r>
        <w:t xml:space="preserve"> </w:t>
      </w:r>
      <w:r>
        <w:t xml:space="preserve">per le Province ed i Comuni della Regione Basilicata i risultati</w:t>
      </w:r>
      <w:r>
        <w:t xml:space="preserve"> </w:t>
      </w:r>
      <w:r>
        <w:t xml:space="preserve">dell’analisi sulla mortalità complessiva nel periodo 2012-2016, per</w:t>
      </w:r>
      <w:r>
        <w:t xml:space="preserve"> </w:t>
      </w:r>
      <w:r>
        <w:t xml:space="preserve">genere e per l’intera popolazione, in termini di:</w:t>
      </w:r>
    </w:p>
    <w:p>
      <w:pPr>
        <w:pStyle w:val="BodyText"/>
      </w:pPr>
      <w:r>
        <w:t xml:space="preserve">- popolazione media residente (media dei dati annui dei residenti al</w:t>
      </w:r>
      <w:r>
        <w:t xml:space="preserve"> </w:t>
      </w:r>
      <w:r>
        <w:t xml:space="preserve">primo gennaio dal 01/01/2012 al 01/01/2017);</w:t>
      </w:r>
    </w:p>
    <w:p>
      <w:pPr>
        <w:pStyle w:val="BodyText"/>
      </w:pPr>
      <w:r>
        <w:t xml:space="preserve">- decessi osservati nel periodo 2012-2016;</w:t>
      </w:r>
    </w:p>
    <w:p>
      <w:pPr>
        <w:pStyle w:val="BodyText"/>
      </w:pPr>
      <w:r>
        <w:t xml:space="preserve">- decessi attesi rispetto al riferimento regionale nel periodo</w:t>
      </w:r>
      <w:r>
        <w:t xml:space="preserve"> </w:t>
      </w:r>
      <w:r>
        <w:t xml:space="preserve">2012-2016;</w:t>
      </w:r>
    </w:p>
    <w:p>
      <w:pPr>
        <w:pStyle w:val="BodyText"/>
      </w:pPr>
      <w:r>
        <w:t xml:space="preserve">- delta medio annuo fra decessi osservati ed attesi;</w:t>
      </w:r>
    </w:p>
    <w:p>
      <w:pPr>
        <w:pStyle w:val="BodyText"/>
      </w:pPr>
      <w:r>
        <w:t xml:space="preserve">- Rapporto Standardizzati di Mortalità con intervalli di confidenza al</w:t>
      </w:r>
      <w:r>
        <w:t xml:space="preserve"> </w:t>
      </w:r>
      <w:r>
        <w:t xml:space="preserve">90%: SMR (I.C. 90%).</w:t>
      </w:r>
    </w:p>
    <w:p>
      <w:pPr>
        <w:pStyle w:val="FigureWithCaption"/>
      </w:pPr>
      <w:r>
        <w:drawing>
          <wp:inline>
            <wp:extent cx="4177492" cy="5474167"/>
            <wp:effectExtent b="0" l="0" r="0" t="0"/>
            <wp:docPr descr="Analisi mortalità Provincia e Comuni di Potenza: popolazione media, decessi osservati, decessi attesi, delta medio annuo decessi osservati - attesi, Rapporto Standardizzato di Mortalità con intervalli di confidenza al 90% - SMR (IC90%). Periodo 2012-2016, riferimento regionale, Maschi. Parte prima. " title="" id="1" name="Picture"/>
            <a:graphic>
              <a:graphicData uri="http://schemas.openxmlformats.org/drawingml/2006/picture">
                <pic:pic>
                  <pic:nvPicPr>
                    <pic:cNvPr descr="figures/2012-16-smr-x-comuni-1/2012-16-smr-x-comuni-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547416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rPr>
          <w:i/>
        </w:rPr>
        <w:t xml:space="preserve">Analisi mortalità Provincia e Comuni</w:t>
      </w:r>
      <w:r>
        <w:rPr>
          <w:i/>
        </w:rPr>
        <w:t xml:space="preserve"> </w:t>
      </w:r>
      <w:r>
        <w:rPr>
          <w:i/>
        </w:rPr>
        <w:t xml:space="preserve">di </w:t>
      </w:r>
      <w:r>
        <w:rPr>
          <w:i/>
          <w:b/>
        </w:rPr>
        <w:t xml:space="preserve">Potenza</w:t>
      </w:r>
      <w:r>
        <w:rPr>
          <w:i/>
        </w:rPr>
        <w:t xml:space="preserve">: popolazione media, decessi osservati,</w:t>
      </w:r>
      <w:r>
        <w:rPr>
          <w:i/>
        </w:rPr>
        <w:t xml:space="preserve"> </w:t>
      </w:r>
      <w:r>
        <w:rPr>
          <w:i/>
        </w:rPr>
        <w:t xml:space="preserve">decessi attesi, delta medio annuo decessi osservati - attesi, Rapporto</w:t>
      </w:r>
      <w:r>
        <w:rPr>
          <w:i/>
        </w:rPr>
        <w:t xml:space="preserve"> </w:t>
      </w:r>
      <w:r>
        <w:rPr>
          <w:i/>
        </w:rPr>
        <w:t xml:space="preserve">Standardizzato di Mortalità con intervalli di confidenza al 90% - SMR</w:t>
      </w:r>
      <w:r>
        <w:rPr>
          <w:i/>
        </w:rPr>
        <w:t xml:space="preserve"> </w:t>
      </w:r>
      <w:r>
        <w:rPr>
          <w:i/>
        </w:rPr>
        <w:t xml:space="preserve">(IC90%). Periodo 2012-2016, riferimento regionale, </w:t>
      </w:r>
      <w:r>
        <w:rPr>
          <w:b/>
          <w:i/>
        </w:rPr>
        <w:t xml:space="preserve">Maschi</w:t>
      </w:r>
      <w:r>
        <w:rPr>
          <w:i/>
        </w:rPr>
        <w:t xml:space="preserve">.</w:t>
      </w:r>
      <w:r>
        <w:rPr>
          <w:i/>
        </w:rPr>
        <w:t xml:space="preserve"> </w:t>
      </w:r>
      <w:r>
        <w:rPr>
          <w:i/>
        </w:rPr>
        <w:t xml:space="preserve">Parte prima.</w:t>
      </w:r>
      <w:r>
        <w:t xml:space="preserve"> </w:t>
      </w:r>
    </w:p>
    <w:p>
      <w:pPr>
        <w:pStyle w:val="FigureWithCaption"/>
      </w:pPr>
      <w:r>
        <w:drawing>
          <wp:inline>
            <wp:extent cx="4177492" cy="5357955"/>
            <wp:effectExtent b="0" l="0" r="0" t="0"/>
            <wp:docPr descr=" Analisi mortalità Provincia e Comuni di Potenza: popolazione media, decessi osservati, decessi attesi, delta medio annuo decessi osservati - attesi, Rapporto Standardizzato di Mortalità con intervalli di confidenza al 90% - SMR (IC90%). Periodo 2012-2016, riferimento regionale, Maschi. Parte seconda. " title="" id="1" name="Picture"/>
            <a:graphic>
              <a:graphicData uri="http://schemas.openxmlformats.org/drawingml/2006/picture">
                <pic:pic>
                  <pic:nvPicPr>
                    <pic:cNvPr descr="figures/2012-16-smr-x-comuni-2/2012-16-smr-x-comuni-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535795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 </w:t>
      </w:r>
      <w:r>
        <w:rPr>
          <w:i/>
        </w:rPr>
        <w:t xml:space="preserve">Analisi mortalità Provincia e Comuni</w:t>
      </w:r>
      <w:r>
        <w:rPr>
          <w:i/>
        </w:rPr>
        <w:t xml:space="preserve"> </w:t>
      </w:r>
      <w:r>
        <w:rPr>
          <w:i/>
        </w:rPr>
        <w:t xml:space="preserve">di </w:t>
      </w:r>
      <w:r>
        <w:rPr>
          <w:i/>
          <w:b/>
        </w:rPr>
        <w:t xml:space="preserve">Potenza</w:t>
      </w:r>
      <w:r>
        <w:rPr>
          <w:i/>
        </w:rPr>
        <w:t xml:space="preserve">: popolazione media, decessi osservati,</w:t>
      </w:r>
      <w:r>
        <w:rPr>
          <w:i/>
        </w:rPr>
        <w:t xml:space="preserve"> </w:t>
      </w:r>
      <w:r>
        <w:rPr>
          <w:i/>
        </w:rPr>
        <w:t xml:space="preserve">decessi attesi, delta medio annuo decessi osservati - attesi, Rapporto</w:t>
      </w:r>
      <w:r>
        <w:rPr>
          <w:i/>
        </w:rPr>
        <w:t xml:space="preserve"> </w:t>
      </w:r>
      <w:r>
        <w:rPr>
          <w:i/>
        </w:rPr>
        <w:t xml:space="preserve">Standardizzato di Mortalità con intervalli di confidenza al 90% - SMR</w:t>
      </w:r>
      <w:r>
        <w:rPr>
          <w:i/>
        </w:rPr>
        <w:t xml:space="preserve"> </w:t>
      </w:r>
      <w:r>
        <w:rPr>
          <w:i/>
        </w:rPr>
        <w:t xml:space="preserve">(IC90%). Periodo 2012-2016, riferimento regionale, </w:t>
      </w:r>
      <w:r>
        <w:rPr>
          <w:b/>
          <w:i/>
        </w:rPr>
        <w:t xml:space="preserve">Maschi</w:t>
      </w:r>
      <w:r>
        <w:rPr>
          <w:i/>
        </w:rPr>
        <w:t xml:space="preserve">.</w:t>
      </w:r>
      <w:r>
        <w:rPr>
          <w:i/>
        </w:rPr>
        <w:t xml:space="preserve"> </w:t>
      </w:r>
      <w:r>
        <w:rPr>
          <w:i/>
        </w:rPr>
        <w:t xml:space="preserve">Parte seconda.</w:t>
      </w:r>
      <w:r>
        <w:t xml:space="preserve"> </w:t>
      </w:r>
    </w:p>
    <w:p>
      <w:pPr>
        <w:pStyle w:val="FigureWithCaption"/>
      </w:pPr>
      <w:r>
        <w:drawing>
          <wp:inline>
            <wp:extent cx="4177492" cy="3599494"/>
            <wp:effectExtent b="0" l="0" r="0" t="0"/>
            <wp:docPr descr=" Analisi mortalità Provincia e Comuni di Matera: popolazione media, decessi osservati, decessi attesi, delta medio annuo decessi osservati - attesi, Rapporto Standardizzato di Mortalità con intervalli di confidenza al 90% - SMR (IC90%). Periodo 2012-2016, riferimento regionale, Maschi.  " title="" id="1" name="Picture"/>
            <a:graphic>
              <a:graphicData uri="http://schemas.openxmlformats.org/drawingml/2006/picture">
                <pic:pic>
                  <pic:nvPicPr>
                    <pic:cNvPr descr="figures/2012-16-smr-x-comuni-3/2012-16-smr-x-comuni-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35994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 </w:t>
      </w:r>
      <w:r>
        <w:rPr>
          <w:i/>
        </w:rPr>
        <w:t xml:space="preserve">Analisi mortalità Provincia e Comuni</w:t>
      </w:r>
      <w:r>
        <w:rPr>
          <w:i/>
        </w:rPr>
        <w:t xml:space="preserve"> </w:t>
      </w:r>
      <w:r>
        <w:rPr>
          <w:i/>
        </w:rPr>
        <w:t xml:space="preserve">di </w:t>
      </w:r>
      <w:r>
        <w:rPr>
          <w:i/>
          <w:b/>
        </w:rPr>
        <w:t xml:space="preserve">Matera</w:t>
      </w:r>
      <w:r>
        <w:rPr>
          <w:i/>
        </w:rPr>
        <w:t xml:space="preserve">: popolazione media, decessi osservati,</w:t>
      </w:r>
      <w:r>
        <w:rPr>
          <w:i/>
        </w:rPr>
        <w:t xml:space="preserve"> </w:t>
      </w:r>
      <w:r>
        <w:rPr>
          <w:i/>
        </w:rPr>
        <w:t xml:space="preserve">decessi attesi, delta medio annuo decessi osservati - attesi, Rapporto</w:t>
      </w:r>
      <w:r>
        <w:rPr>
          <w:i/>
        </w:rPr>
        <w:t xml:space="preserve"> </w:t>
      </w:r>
      <w:r>
        <w:rPr>
          <w:i/>
        </w:rPr>
        <w:t xml:space="preserve">Standardizzato di Mortalità con intervalli di confidenza al 90% - SMR</w:t>
      </w:r>
      <w:r>
        <w:rPr>
          <w:i/>
        </w:rPr>
        <w:t xml:space="preserve"> </w:t>
      </w:r>
      <w:r>
        <w:rPr>
          <w:i/>
        </w:rPr>
        <w:t xml:space="preserve">(IC90%). Periodo 2012-2016, riferimento regionale, </w:t>
      </w:r>
      <w:r>
        <w:rPr>
          <w:b/>
          <w:i/>
        </w:rPr>
        <w:t xml:space="preserve">Maschi</w:t>
      </w:r>
      <w:r>
        <w:rPr>
          <w:i/>
        </w:rPr>
        <w:t xml:space="preserve">.</w:t>
      </w:r>
      <w:r>
        <w:t xml:space="preserve"> </w:t>
      </w:r>
      <w:r>
        <w:t xml:space="preserve"> </w:t>
      </w:r>
    </w:p>
    <w:p>
      <w:pPr>
        <w:pStyle w:val="FigureWithCaption"/>
      </w:pPr>
      <w:r>
        <w:drawing>
          <wp:inline>
            <wp:extent cx="4177492" cy="5516981"/>
            <wp:effectExtent b="0" l="0" r="0" t="0"/>
            <wp:docPr descr=" Analisi mortalità Provincia e Comuni di Potenza: popolazione media, decessi osservati, decessi attesi, delta medio annuo decessi osservati - attesi, Rapporto Standardizzato di Mortalità con intervalli di confidenza al 90% - SMR (IC90%). Periodo 2012-2016, riferimento regionale, Femmine. Parte prima. " title="" id="1" name="Picture"/>
            <a:graphic>
              <a:graphicData uri="http://schemas.openxmlformats.org/drawingml/2006/picture">
                <pic:pic>
                  <pic:nvPicPr>
                    <pic:cNvPr descr="figures/2012-16-smr-x-comuni-4/2012-16-smr-x-comuni-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551698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 </w:t>
      </w:r>
      <w:r>
        <w:rPr>
          <w:i/>
        </w:rPr>
        <w:t xml:space="preserve">Analisi mortalità Provincia e Comuni</w:t>
      </w:r>
      <w:r>
        <w:rPr>
          <w:i/>
        </w:rPr>
        <w:t xml:space="preserve"> </w:t>
      </w:r>
      <w:r>
        <w:rPr>
          <w:i/>
        </w:rPr>
        <w:t xml:space="preserve">di </w:t>
      </w:r>
      <w:r>
        <w:rPr>
          <w:i/>
          <w:b/>
        </w:rPr>
        <w:t xml:space="preserve">Potenza</w:t>
      </w:r>
      <w:r>
        <w:rPr>
          <w:i/>
        </w:rPr>
        <w:t xml:space="preserve">: popolazione media, decessi osservati,</w:t>
      </w:r>
      <w:r>
        <w:rPr>
          <w:i/>
        </w:rPr>
        <w:t xml:space="preserve"> </w:t>
      </w:r>
      <w:r>
        <w:rPr>
          <w:i/>
        </w:rPr>
        <w:t xml:space="preserve">decessi attesi, delta medio annuo decessi osservati - attesi, Rapporto</w:t>
      </w:r>
      <w:r>
        <w:rPr>
          <w:i/>
        </w:rPr>
        <w:t xml:space="preserve"> </w:t>
      </w:r>
      <w:r>
        <w:rPr>
          <w:i/>
        </w:rPr>
        <w:t xml:space="preserve">Standardizzato di Mortalità con intervalli di confidenza al 90% - SMR</w:t>
      </w:r>
      <w:r>
        <w:rPr>
          <w:i/>
        </w:rPr>
        <w:t xml:space="preserve"> </w:t>
      </w:r>
      <w:r>
        <w:rPr>
          <w:i/>
        </w:rPr>
        <w:t xml:space="preserve">(IC90%). Periodo 2012-2016, riferimento regionale,</w:t>
      </w:r>
      <w:r>
        <w:rPr>
          <w:i/>
        </w:rPr>
        <w:t xml:space="preserve"> </w:t>
      </w:r>
      <w:r>
        <w:rPr>
          <w:b/>
          <w:i/>
        </w:rPr>
        <w:t xml:space="preserve">Femmine</w:t>
      </w:r>
      <w:r>
        <w:rPr>
          <w:i/>
        </w:rPr>
        <w:t xml:space="preserve">.</w:t>
      </w:r>
      <w:r>
        <w:rPr>
          <w:i/>
        </w:rPr>
        <w:t xml:space="preserve"> </w:t>
      </w:r>
      <w:r>
        <w:rPr>
          <w:i/>
        </w:rPr>
        <w:t xml:space="preserve">Parte prima.</w:t>
      </w:r>
      <w:r>
        <w:t xml:space="preserve"> </w:t>
      </w:r>
    </w:p>
    <w:p>
      <w:pPr>
        <w:pStyle w:val="FigureWithCaption"/>
      </w:pPr>
      <w:r>
        <w:drawing>
          <wp:inline>
            <wp:extent cx="4177492" cy="5275384"/>
            <wp:effectExtent b="0" l="0" r="0" t="0"/>
            <wp:docPr descr=" Analisi mortalità Provincia e Comuni di Potenza: popolazione media, decessi osservati, decessi attesi, delta medio annuo decessi osservati - attesi, Rapporto Standardizzato di Mortalità con intervalli di confidenza al 90% - SMR (IC90%). Periodo 2012-2016, riferimento regionale, Femmine. Parte seconda. " title="" id="1" name="Picture"/>
            <a:graphic>
              <a:graphicData uri="http://schemas.openxmlformats.org/drawingml/2006/picture">
                <pic:pic>
                  <pic:nvPicPr>
                    <pic:cNvPr descr="figures/2012-16-smr-x-comuni-5/2012-16-smr-x-comuni-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52753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 </w:t>
      </w:r>
      <w:r>
        <w:rPr>
          <w:i/>
        </w:rPr>
        <w:t xml:space="preserve">Analisi mortalità Provincia e Comuni</w:t>
      </w:r>
      <w:r>
        <w:rPr>
          <w:i/>
        </w:rPr>
        <w:t xml:space="preserve"> </w:t>
      </w:r>
      <w:r>
        <w:rPr>
          <w:i/>
        </w:rPr>
        <w:t xml:space="preserve">di </w:t>
      </w:r>
      <w:r>
        <w:rPr>
          <w:i/>
          <w:b/>
        </w:rPr>
        <w:t xml:space="preserve">Potenza</w:t>
      </w:r>
      <w:r>
        <w:rPr>
          <w:i/>
        </w:rPr>
        <w:t xml:space="preserve">: popolazione media, decessi osservati,</w:t>
      </w:r>
      <w:r>
        <w:rPr>
          <w:i/>
        </w:rPr>
        <w:t xml:space="preserve"> </w:t>
      </w:r>
      <w:r>
        <w:rPr>
          <w:i/>
        </w:rPr>
        <w:t xml:space="preserve">decessi attesi, delta medio annuo decessi osservati - attesi, Rapporto</w:t>
      </w:r>
      <w:r>
        <w:rPr>
          <w:i/>
        </w:rPr>
        <w:t xml:space="preserve"> </w:t>
      </w:r>
      <w:r>
        <w:rPr>
          <w:i/>
        </w:rPr>
        <w:t xml:space="preserve">Standardizzato di Mortalità con intervalli di confidenza al 90% - SMR</w:t>
      </w:r>
      <w:r>
        <w:rPr>
          <w:i/>
        </w:rPr>
        <w:t xml:space="preserve"> </w:t>
      </w:r>
      <w:r>
        <w:rPr>
          <w:i/>
        </w:rPr>
        <w:t xml:space="preserve">(IC90%). Periodo 2012-2016, riferimento regionale, </w:t>
      </w:r>
      <w:r>
        <w:rPr>
          <w:b/>
          <w:i/>
        </w:rPr>
        <w:t xml:space="preserve">Femmine</w:t>
      </w:r>
      <w:r>
        <w:rPr>
          <w:i/>
        </w:rPr>
        <w:t xml:space="preserve">.</w:t>
      </w:r>
      <w:r>
        <w:rPr>
          <w:i/>
        </w:rPr>
        <w:t xml:space="preserve"> </w:t>
      </w:r>
      <w:r>
        <w:rPr>
          <w:i/>
        </w:rPr>
        <w:t xml:space="preserve">Parte seconda.</w:t>
      </w:r>
      <w:r>
        <w:t xml:space="preserve"> </w:t>
      </w:r>
    </w:p>
    <w:p>
      <w:pPr>
        <w:pStyle w:val="FigureWithCaption"/>
      </w:pPr>
      <w:r>
        <w:drawing>
          <wp:inline>
            <wp:extent cx="4177492" cy="3617843"/>
            <wp:effectExtent b="0" l="0" r="0" t="0"/>
            <wp:docPr descr="Analisi mortalità Provincia e Comuni di Matera: popolazione media, decessi osservati, decessi attesi, delta medio annuo decessi osservati - attesi, Rapporto Standardizzato di Mortalità con intervalli di confidenza al 90% - SMR (IC90%). Periodo 2012-2016, riferimento regionale, Femmine.   " title="" id="1" name="Picture"/>
            <a:graphic>
              <a:graphicData uri="http://schemas.openxmlformats.org/drawingml/2006/picture">
                <pic:pic>
                  <pic:nvPicPr>
                    <pic:cNvPr descr="figures/2012-16-smr-x-comuni-6/2012-16-smr-x-comuni-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36178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rPr>
          <w:i/>
        </w:rPr>
        <w:t xml:space="preserve">Analisi mortalità Provincia e Comuni</w:t>
      </w:r>
      <w:r>
        <w:rPr>
          <w:i/>
        </w:rPr>
        <w:t xml:space="preserve"> </w:t>
      </w:r>
      <w:r>
        <w:rPr>
          <w:i/>
        </w:rPr>
        <w:t xml:space="preserve">di </w:t>
      </w:r>
      <w:r>
        <w:rPr>
          <w:i/>
          <w:b/>
        </w:rPr>
        <w:t xml:space="preserve">Matera</w:t>
      </w:r>
      <w:r>
        <w:rPr>
          <w:i/>
        </w:rPr>
        <w:t xml:space="preserve">: popolazione media, decessi osservati,</w:t>
      </w:r>
      <w:r>
        <w:rPr>
          <w:i/>
        </w:rPr>
        <w:t xml:space="preserve"> </w:t>
      </w:r>
      <w:r>
        <w:rPr>
          <w:i/>
        </w:rPr>
        <w:t xml:space="preserve">decessi attesi, delta medio annuo decessi osservati - attesi, Rapporto</w:t>
      </w:r>
      <w:r>
        <w:rPr>
          <w:i/>
        </w:rPr>
        <w:t xml:space="preserve"> </w:t>
      </w:r>
      <w:r>
        <w:rPr>
          <w:i/>
        </w:rPr>
        <w:t xml:space="preserve">Standardizzato di Mortalità con intervalli di confidenza al 90% - SMR</w:t>
      </w:r>
      <w:r>
        <w:rPr>
          <w:i/>
        </w:rPr>
        <w:t xml:space="preserve"> </w:t>
      </w:r>
      <w:r>
        <w:rPr>
          <w:i/>
        </w:rPr>
        <w:t xml:space="preserve">(IC90%). Periodo 2012-2016, riferimento regionale, </w:t>
      </w:r>
      <w:r>
        <w:rPr>
          <w:b/>
          <w:i/>
        </w:rPr>
        <w:t xml:space="preserve">Femmine</w:t>
      </w:r>
      <w:r>
        <w:rPr>
          <w:i/>
        </w:rPr>
        <w:t xml:space="preserve">.</w:t>
      </w:r>
      <w:r>
        <w:t xml:space="preserve"> </w:t>
      </w:r>
      <w:r>
        <w:t xml:space="preserve"> </w:t>
      </w:r>
      <w:r>
        <w:t xml:space="preserve"> </w:t>
      </w:r>
    </w:p>
    <w:p>
      <w:pPr>
        <w:pStyle w:val="FigureWithCaption"/>
      </w:pPr>
      <w:r>
        <w:drawing>
          <wp:inline>
            <wp:extent cx="4177492" cy="5464992"/>
            <wp:effectExtent b="0" l="0" r="0" t="0"/>
            <wp:docPr descr="Analisi mortalità Provincia e Comuni di Potenza: popolazione media, decessi osservati, decessi attesi, delta medio annuo decessi osservati - attesi, Rapporto Standardizzato di Mortalità con intervalli di confidenza al 90% - SMR (IC90%). Periodo 2012-2016, riferimento regionale, Maschi+Femmine. Parte prima.   " title="" id="1" name="Picture"/>
            <a:graphic>
              <a:graphicData uri="http://schemas.openxmlformats.org/drawingml/2006/picture">
                <pic:pic>
                  <pic:nvPicPr>
                    <pic:cNvPr descr="figures/2012-16-smr-x-comuni-7/2012-16-smr-x-comuni-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546499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rPr>
          <w:i/>
        </w:rPr>
        <w:t xml:space="preserve">Analisi mortalità Provincia e Comuni</w:t>
      </w:r>
      <w:r>
        <w:rPr>
          <w:i/>
        </w:rPr>
        <w:t xml:space="preserve"> </w:t>
      </w:r>
      <w:r>
        <w:rPr>
          <w:i/>
        </w:rPr>
        <w:t xml:space="preserve">di </w:t>
      </w:r>
      <w:r>
        <w:rPr>
          <w:i/>
          <w:b/>
        </w:rPr>
        <w:t xml:space="preserve">Potenza</w:t>
      </w:r>
      <w:r>
        <w:rPr>
          <w:i/>
        </w:rPr>
        <w:t xml:space="preserve">: popolazione media, decessi osservati,</w:t>
      </w:r>
      <w:r>
        <w:rPr>
          <w:i/>
        </w:rPr>
        <w:t xml:space="preserve"> </w:t>
      </w:r>
      <w:r>
        <w:rPr>
          <w:i/>
        </w:rPr>
        <w:t xml:space="preserve">decessi attesi, delta medio annuo decessi osservati - attesi, Rapporto</w:t>
      </w:r>
      <w:r>
        <w:rPr>
          <w:i/>
        </w:rPr>
        <w:t xml:space="preserve"> </w:t>
      </w:r>
      <w:r>
        <w:rPr>
          <w:i/>
        </w:rPr>
        <w:t xml:space="preserve">Standardizzato di Mortalità con intervalli di confidenza al 90% - SMR</w:t>
      </w:r>
      <w:r>
        <w:rPr>
          <w:i/>
        </w:rPr>
        <w:t xml:space="preserve"> </w:t>
      </w:r>
      <w:r>
        <w:rPr>
          <w:i/>
        </w:rPr>
        <w:t xml:space="preserve">(IC90%). Periodo 2012-2016, riferimento</w:t>
      </w:r>
      <w:r>
        <w:rPr>
          <w:i/>
        </w:rPr>
        <w:t xml:space="preserve"> </w:t>
      </w:r>
      <w:r>
        <w:rPr>
          <w:i/>
        </w:rPr>
        <w:t xml:space="preserve">regionale, </w:t>
      </w:r>
      <w:r>
        <w:rPr>
          <w:b/>
          <w:i/>
        </w:rPr>
        <w:t xml:space="preserve">Maschi+Femmine</w:t>
      </w:r>
      <w:r>
        <w:rPr>
          <w:i/>
        </w:rPr>
        <w:t xml:space="preserve">. Parte prima.</w:t>
      </w:r>
      <w:r>
        <w:t xml:space="preserve"> </w:t>
      </w:r>
      <w:r>
        <w:t xml:space="preserve"> </w:t>
      </w:r>
      <w:r>
        <w:t xml:space="preserve"> </w:t>
      </w:r>
    </w:p>
    <w:p>
      <w:pPr>
        <w:pStyle w:val="FigureWithCaption"/>
      </w:pPr>
      <w:r>
        <w:drawing>
          <wp:inline>
            <wp:extent cx="4177492" cy="5357955"/>
            <wp:effectExtent b="0" l="0" r="0" t="0"/>
            <wp:docPr descr=" Analisi mortalità Provincia e Comuni di Potenza: popolazione media, decessi osservati, decessi attesi, delta medio annuo decessi osservati - attesi, Rapporto Standardizzato di Mortalità con intervalli di confidenza al 90% - SMR (IC90%). Periodo 2012-2016, riferimento regionale, Maschi+Femmine. Parte seconda. " title="" id="1" name="Picture"/>
            <a:graphic>
              <a:graphicData uri="http://schemas.openxmlformats.org/drawingml/2006/picture">
                <pic:pic>
                  <pic:nvPicPr>
                    <pic:cNvPr descr="figures/2012-16-smr-x-comuni-8/2012-16-smr-x-comuni-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535795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 </w:t>
      </w:r>
      <w:r>
        <w:rPr>
          <w:i/>
        </w:rPr>
        <w:t xml:space="preserve">Analisi mortalità Provincia e Comuni</w:t>
      </w:r>
      <w:r>
        <w:rPr>
          <w:i/>
        </w:rPr>
        <w:t xml:space="preserve"> </w:t>
      </w:r>
      <w:r>
        <w:rPr>
          <w:i/>
        </w:rPr>
        <w:t xml:space="preserve">di </w:t>
      </w:r>
      <w:r>
        <w:rPr>
          <w:i/>
          <w:b/>
        </w:rPr>
        <w:t xml:space="preserve">Potenza</w:t>
      </w:r>
      <w:r>
        <w:rPr>
          <w:i/>
        </w:rPr>
        <w:t xml:space="preserve">: popolazione media, decessi osservati,</w:t>
      </w:r>
      <w:r>
        <w:rPr>
          <w:i/>
        </w:rPr>
        <w:t xml:space="preserve"> </w:t>
      </w:r>
      <w:r>
        <w:rPr>
          <w:i/>
        </w:rPr>
        <w:t xml:space="preserve">decessi attesi, delta medio annuo decessi osservati - attesi, Rapporto</w:t>
      </w:r>
      <w:r>
        <w:rPr>
          <w:i/>
        </w:rPr>
        <w:t xml:space="preserve"> </w:t>
      </w:r>
      <w:r>
        <w:rPr>
          <w:i/>
        </w:rPr>
        <w:t xml:space="preserve">Standardizzato di Mortalità con intervalli di confidenza al 90% - SMR</w:t>
      </w:r>
      <w:r>
        <w:rPr>
          <w:i/>
        </w:rPr>
        <w:t xml:space="preserve"> </w:t>
      </w:r>
      <w:r>
        <w:rPr>
          <w:i/>
        </w:rPr>
        <w:t xml:space="preserve">(IC90%). Periodo 2012-2016, riferimento regionale,</w:t>
      </w:r>
      <w:r>
        <w:rPr>
          <w:i/>
        </w:rPr>
        <w:t xml:space="preserve"> </w:t>
      </w:r>
      <w:r>
        <w:rPr>
          <w:b/>
          <w:i/>
        </w:rPr>
        <w:t xml:space="preserve">Maschi+Femmine</w:t>
      </w:r>
      <w:r>
        <w:rPr>
          <w:i/>
        </w:rPr>
        <w:t xml:space="preserve">. Parte seconda.</w:t>
      </w:r>
      <w:r>
        <w:t xml:space="preserve"> </w:t>
      </w:r>
    </w:p>
    <w:p>
      <w:pPr>
        <w:pStyle w:val="FigureWithCaption"/>
      </w:pPr>
      <w:r>
        <w:drawing>
          <wp:inline>
            <wp:extent cx="4177492" cy="3596436"/>
            <wp:effectExtent b="0" l="0" r="0" t="0"/>
            <wp:docPr descr=" Analisi mortalità Provincia e Comuni di Matera: popolazione media, decessi osservati, decessi attesi, delta medio annuo decessi osservati - attesi, Rapporto Standardizzato di Mortalità con intervalli di confidenza al 90% - SMR (IC90%). Periodo 2012-2016, riferimento regionale, Maschi+Femmine. " title="" id="1" name="Picture"/>
            <a:graphic>
              <a:graphicData uri="http://schemas.openxmlformats.org/drawingml/2006/picture">
                <pic:pic>
                  <pic:nvPicPr>
                    <pic:cNvPr descr="figures/2012-16-smr-x-comuni-9/2012-16-smr-x-comuni-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35964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 </w:t>
      </w:r>
      <w:r>
        <w:rPr>
          <w:i/>
        </w:rPr>
        <w:t xml:space="preserve">Analisi mortalità Provincia e Comuni di</w:t>
      </w:r>
      <w:r>
        <w:rPr>
          <w:i/>
        </w:rPr>
        <w:t xml:space="preserve"> </w:t>
      </w:r>
      <w:r>
        <w:rPr>
          <w:b/>
          <w:i/>
        </w:rPr>
        <w:t xml:space="preserve">Mater</w:t>
      </w:r>
      <w:r>
        <w:rPr>
          <w:i/>
          <w:b/>
        </w:rPr>
        <w:t xml:space="preserve">a</w:t>
      </w:r>
      <w:r>
        <w:rPr>
          <w:i/>
        </w:rPr>
        <w:t xml:space="preserve">: popolazione media, decessi</w:t>
      </w:r>
      <w:r>
        <w:rPr>
          <w:i/>
        </w:rPr>
        <w:t xml:space="preserve"> </w:t>
      </w:r>
      <w:r>
        <w:rPr>
          <w:i/>
        </w:rPr>
        <w:t xml:space="preserve">osservati, decessi attesi, delta medio annuo decessi osservati - attesi,</w:t>
      </w:r>
      <w:r>
        <w:rPr>
          <w:i/>
        </w:rPr>
        <w:t xml:space="preserve"> </w:t>
      </w:r>
      <w:r>
        <w:rPr>
          <w:i/>
        </w:rPr>
        <w:t xml:space="preserve">Rapporto Standardizzato di Mortalità con intervalli di confidenza al</w:t>
      </w:r>
      <w:r>
        <w:rPr>
          <w:i/>
        </w:rPr>
        <w:t xml:space="preserve"> </w:t>
      </w:r>
      <w:r>
        <w:rPr>
          <w:i/>
        </w:rPr>
        <w:t xml:space="preserve">90% - SMR (IC90%). Periodo 2012-2016, riferimento</w:t>
      </w:r>
      <w:r>
        <w:rPr>
          <w:i/>
        </w:rPr>
        <w:t xml:space="preserve"> </w:t>
      </w:r>
      <w:r>
        <w:rPr>
          <w:i/>
        </w:rPr>
        <w:t xml:space="preserve">regionale, </w:t>
      </w:r>
      <w:r>
        <w:rPr>
          <w:b/>
          <w:i/>
        </w:rPr>
        <w:t xml:space="preserve">Maschi+Femmine</w:t>
      </w:r>
      <w:r>
        <w:rPr>
          <w:i/>
        </w:rPr>
        <w:t xml:space="preserve">.</w:t>
      </w:r>
      <w:r>
        <w:t xml:space="preserve"> </w:t>
      </w:r>
    </w:p>
    <w:p>
      <w:pPr>
        <w:pStyle w:val="Heading1"/>
      </w:pPr>
      <w:bookmarkStart w:id="47" w:name="discussione"/>
      <w:bookmarkEnd w:id="47"/>
      <w:r>
        <w:t xml:space="preserve">Discussione</w:t>
      </w:r>
    </w:p>
    <w:p>
      <w:pPr>
        <w:pStyle w:val="FirstParagraph"/>
      </w:pPr>
      <w:r>
        <w:t xml:space="preserve">Relativamente all’analisi per cause di decesso nel periodo 2012-2015, si</w:t>
      </w:r>
      <w:r>
        <w:t xml:space="preserve"> </w:t>
      </w:r>
      <w:r>
        <w:t xml:space="preserve">evidenzia, rispetto al riferimento nazionale, un eccesso di moralità</w:t>
      </w:r>
      <w:r>
        <w:t xml:space="preserve"> </w:t>
      </w:r>
      <w:r>
        <w:t xml:space="preserve">statisticamente significativo:</w:t>
      </w:r>
    </w:p>
    <w:p>
      <w:pPr>
        <w:pStyle w:val="BodyText"/>
      </w:pPr>
      <w:r>
        <w:t xml:space="preserve">- nelle malattie endocrine, nutrizionali e metaboliche (+27,6% per gli</w:t>
      </w:r>
      <w:r>
        <w:t xml:space="preserve"> </w:t>
      </w:r>
      <w:r>
        <w:t xml:space="preserve">uomini e +36,6% per le donne);</w:t>
      </w:r>
    </w:p>
    <w:p>
      <w:pPr>
        <w:pStyle w:val="BodyText"/>
      </w:pPr>
      <w:r>
        <w:t xml:space="preserve">- nelle malattie dell’apparato digerente (+20,2% negli uomini);</w:t>
      </w:r>
    </w:p>
    <w:p>
      <w:pPr>
        <w:pStyle w:val="BodyText"/>
      </w:pPr>
      <w:r>
        <w:t xml:space="preserve">- nelle malattie dell’apparato genitourinario (+12,2% nelle donne);</w:t>
      </w:r>
    </w:p>
    <w:p>
      <w:pPr>
        <w:pStyle w:val="BodyText"/>
      </w:pPr>
      <w:r>
        <w:t xml:space="preserve">- nelle malattie del sistema circolatorio (+7,8% per gli uomini e</w:t>
      </w:r>
      <w:r>
        <w:t xml:space="preserve"> </w:t>
      </w:r>
      <w:r>
        <w:t xml:space="preserve">+11,6% per le donne);</w:t>
      </w:r>
    </w:p>
    <w:p>
      <w:pPr>
        <w:pStyle w:val="BodyText"/>
      </w:pPr>
      <w:r>
        <w:t xml:space="preserve">- nelle cause esterne di traumatismo e avvelenamento (+11,5% nelle</w:t>
      </w:r>
      <w:r>
        <w:t xml:space="preserve"> </w:t>
      </w:r>
      <w:r>
        <w:t xml:space="preserve">donne).</w:t>
      </w:r>
    </w:p>
    <w:p>
      <w:pPr>
        <w:pStyle w:val="BodyText"/>
      </w:pPr>
      <w:r>
        <w:t xml:space="preserve">La mortalità per tutte le cause sull’intero periodo 2012-2015 appare</w:t>
      </w:r>
      <w:r>
        <w:t xml:space="preserve"> </w:t>
      </w:r>
      <w:r>
        <w:t xml:space="preserve">invece in linea rispetto al riferimento nazionale.</w:t>
      </w:r>
    </w:p>
    <w:p>
      <w:pPr>
        <w:pStyle w:val="BodyText"/>
      </w:pPr>
      <w:r>
        <w:br w:type="textWrapping"/>
      </w:r>
      <w:r>
        <w:t xml:space="preserve">Si evidenziano inoltre gli eccessi di mortalità in alcune specifiche</w:t>
      </w:r>
      <w:r>
        <w:t xml:space="preserve"> </w:t>
      </w:r>
      <w:r>
        <w:t xml:space="preserve">singole cause di decesso, in quanto non emergerebbero ove si avesse a</w:t>
      </w:r>
      <w:r>
        <w:t xml:space="preserve"> </w:t>
      </w:r>
      <w:r>
        <w:t xml:space="preserve">considerare solo il gruppo della causa di morte cui appartengono.</w:t>
      </w:r>
    </w:p>
    <w:p>
      <w:pPr>
        <w:pStyle w:val="BodyText"/>
      </w:pPr>
      <w:r>
        <w:t xml:space="preserve">Eccessi di mortalità statisticamente significativi si riscontrano</w:t>
      </w:r>
      <w:r>
        <w:t xml:space="preserve"> </w:t>
      </w:r>
      <w:r>
        <w:t xml:space="preserve">quindi, sempre nel periodo 2012-2015 rispetto al riferimento italiano:</w:t>
      </w:r>
    </w:p>
    <w:p>
      <w:pPr>
        <w:pStyle w:val="BodyText"/>
      </w:pPr>
      <w:r>
        <w:t xml:space="preserve">- fra le malattie infettive e parassitarie, alla voce</w:t>
      </w:r>
      <w:r>
        <w:t xml:space="preserve"> </w:t>
      </w:r>
      <w:r>
        <w:t xml:space="preserve">“</w:t>
      </w:r>
      <w:r>
        <w:t xml:space="preserve">epatite virale</w:t>
      </w:r>
      <w:r>
        <w:t xml:space="preserve">”</w:t>
      </w:r>
      <w:r>
        <w:t xml:space="preserve"> </w:t>
      </w:r>
      <w:r>
        <w:t xml:space="preserve">(+41,7% negli uomini e +42,6% nelle donne);</w:t>
      </w:r>
    </w:p>
    <w:p>
      <w:pPr>
        <w:pStyle w:val="BodyText"/>
      </w:pPr>
      <w:r>
        <w:t xml:space="preserve">- fra i decessi per tumore, nelle specifiche sedi tumorali: per i maschi</w:t>
      </w:r>
      <w:r>
        <w:t xml:space="preserve"> </w:t>
      </w:r>
      <w:r>
        <w:t xml:space="preserve">nei tumori maligni del fegato e dei dotti intraepatici (+11,2%) e della</w:t>
      </w:r>
      <w:r>
        <w:t xml:space="preserve"> </w:t>
      </w:r>
      <w:r>
        <w:t xml:space="preserve">laringe (+50,6%); nelle femmine per i tumori dello stomaco (+18,8%) e</w:t>
      </w:r>
      <w:r>
        <w:t xml:space="preserve"> </w:t>
      </w:r>
      <w:r>
        <w:t xml:space="preserve">per leucemie (+23,9%);</w:t>
      </w:r>
    </w:p>
    <w:p>
      <w:pPr>
        <w:pStyle w:val="BodyText"/>
      </w:pPr>
      <w:r>
        <w:t xml:space="preserve">- fra i disturbi psichici e comportamentali, alla voce</w:t>
      </w:r>
      <w:r>
        <w:t xml:space="preserve"> </w:t>
      </w:r>
      <w:r>
        <w:t xml:space="preserve">“</w:t>
      </w:r>
      <w:r>
        <w:t xml:space="preserve">altri disturbi</w:t>
      </w:r>
      <w:r>
        <w:t xml:space="preserve"> </w:t>
      </w:r>
      <w:r>
        <w:t xml:space="preserve">psichici e comportamentali</w:t>
      </w:r>
      <w:r>
        <w:t xml:space="preserve">”</w:t>
      </w:r>
      <w:r>
        <w:t xml:space="preserve"> </w:t>
      </w:r>
      <w:r>
        <w:t xml:space="preserve">(+40,6% negli uomini);</w:t>
      </w:r>
    </w:p>
    <w:p>
      <w:pPr>
        <w:pStyle w:val="BodyText"/>
      </w:pPr>
      <w:r>
        <w:t xml:space="preserve">- fra le malattie del sistema respiratorio, nella voce</w:t>
      </w:r>
      <w:r>
        <w:t xml:space="preserve"> </w:t>
      </w:r>
      <w:r>
        <w:t xml:space="preserve">“</w:t>
      </w:r>
      <w:r>
        <w:t xml:space="preserve">altre malattie</w:t>
      </w:r>
      <w:r>
        <w:t xml:space="preserve"> </w:t>
      </w:r>
      <w:r>
        <w:t xml:space="preserve">croniche delle basse vie respiratorie</w:t>
      </w:r>
      <w:r>
        <w:t xml:space="preserve">”</w:t>
      </w:r>
      <w:r>
        <w:t xml:space="preserve"> </w:t>
      </w:r>
      <w:r>
        <w:t xml:space="preserve">(+22,3% negli uomini e +29,4%</w:t>
      </w:r>
      <w:r>
        <w:t xml:space="preserve"> </w:t>
      </w:r>
      <w:r>
        <w:t xml:space="preserve">nelle donne);</w:t>
      </w:r>
    </w:p>
    <w:p>
      <w:pPr>
        <w:pStyle w:val="BodyText"/>
      </w:pPr>
      <w:r>
        <w:t xml:space="preserve">- fra le malattie dell’apparato digerente, alla voce</w:t>
      </w:r>
      <w:r>
        <w:t xml:space="preserve"> </w:t>
      </w:r>
      <w:r>
        <w:t xml:space="preserve">“</w:t>
      </w:r>
      <w:r>
        <w:t xml:space="preserve">cirrosi, fibrosi</w:t>
      </w:r>
      <w:r>
        <w:t xml:space="preserve"> </w:t>
      </w:r>
      <w:r>
        <w:t xml:space="preserve">ed epatite cronica</w:t>
      </w:r>
      <w:r>
        <w:t xml:space="preserve">”</w:t>
      </w:r>
      <w:r>
        <w:t xml:space="preserve"> </w:t>
      </w:r>
      <w:r>
        <w:t xml:space="preserve">(+52,5% negli uomini e +19,5% nelle donne);</w:t>
      </w:r>
    </w:p>
    <w:p>
      <w:pPr>
        <w:pStyle w:val="BodyText"/>
      </w:pPr>
      <w:r>
        <w:t xml:space="preserve">- fra le cause esterne di traumatismo e avvelenamento, alle voci</w:t>
      </w:r>
      <w:r>
        <w:t xml:space="preserve"> </w:t>
      </w:r>
      <w:r>
        <w:t xml:space="preserve">“</w:t>
      </w:r>
      <w:r>
        <w:t xml:space="preserve">accidenti di trasporto</w:t>
      </w:r>
      <w:r>
        <w:t xml:space="preserve">”</w:t>
      </w:r>
      <w:r>
        <w:t xml:space="preserve"> </w:t>
      </w:r>
      <w:r>
        <w:t xml:space="preserve">(+20,2% negli uomini) ed</w:t>
      </w:r>
      <w:r>
        <w:t xml:space="preserve"> </w:t>
      </w:r>
      <w:r>
        <w:t xml:space="preserve">“</w:t>
      </w:r>
      <w:r>
        <w:t xml:space="preserve">altri accidenti</w:t>
      </w:r>
      <w:r>
        <w:t xml:space="preserve">”</w:t>
      </w:r>
      <w:r>
        <w:t xml:space="preserve"> </w:t>
      </w:r>
      <w:r>
        <w:t xml:space="preserve">(+25,4% negli uomini e +44,9% nelle donne).</w:t>
      </w:r>
    </w:p>
    <w:p>
      <w:pPr>
        <w:pStyle w:val="BodyText"/>
      </w:pPr>
      <w:r>
        <w:br w:type="textWrapping"/>
      </w:r>
      <w:r>
        <w:t xml:space="preserve">Alla luce di questi risultati, approfonditi anche su livello</w:t>
      </w:r>
      <w:r>
        <w:t xml:space="preserve"> </w:t>
      </w:r>
      <w:r>
        <w:t xml:space="preserve">provinciale, appare quindi possibile cogliere gli eccessi di mortalità</w:t>
      </w:r>
      <w:r>
        <w:t xml:space="preserve"> </w:t>
      </w:r>
      <w:r>
        <w:t xml:space="preserve">per le specifiche cause, dando utili informazioni alle istituzioni</w:t>
      </w:r>
      <w:r>
        <w:t xml:space="preserve"> </w:t>
      </w:r>
      <w:r>
        <w:t xml:space="preserve">sanitarie sulle particolari patologie per le quali potrebbe essere</w:t>
      </w:r>
      <w:r>
        <w:t xml:space="preserve"> </w:t>
      </w:r>
      <w:r>
        <w:t xml:space="preserve">opportuno attivare gli opportuni approfondimenti eziologici e gli</w:t>
      </w:r>
      <w:r>
        <w:t xml:space="preserve"> </w:t>
      </w:r>
      <w:r>
        <w:t xml:space="preserve">interventi necessari per migliorare le condizioni generali di salute</w:t>
      </w:r>
      <w:r>
        <w:t xml:space="preserve"> </w:t>
      </w:r>
      <w:r>
        <w:t xml:space="preserve">della cittadinanza.</w:t>
      </w:r>
    </w:p>
    <w:p>
      <w:pPr>
        <w:pStyle w:val="BodyText"/>
      </w:pPr>
      <w:r>
        <w:br w:type="textWrapping"/>
      </w:r>
      <w:r>
        <w:br w:type="textWrapping"/>
      </w:r>
      <w:r>
        <w:t xml:space="preserve">L’analisi dei tassi di mortalità, standardizzati avendo a riferimento la</w:t>
      </w:r>
      <w:r>
        <w:t xml:space="preserve"> </w:t>
      </w:r>
      <w:r>
        <w:t xml:space="preserve">popolazione europea, evidenzia nel periodo dal 2012 al 2016:</w:t>
      </w:r>
    </w:p>
    <w:p>
      <w:pPr>
        <w:pStyle w:val="BodyText"/>
      </w:pPr>
      <w:r>
        <w:t xml:space="preserve">- nei maschi residenti nella Provincia di Matera: un trend crescente, in</w:t>
      </w:r>
      <w:r>
        <w:t xml:space="preserve"> </w:t>
      </w:r>
      <w:r>
        <w:t xml:space="preserve">contro tendenza rispetto a quello italiano e regionale; tanto da portare</w:t>
      </w:r>
      <w:r>
        <w:t xml:space="preserve"> </w:t>
      </w:r>
      <w:r>
        <w:t xml:space="preserve">la mortalità in tale provincia ad essere, da inferiore, a superiore</w:t>
      </w:r>
      <w:r>
        <w:t xml:space="preserve"> </w:t>
      </w:r>
      <w:r>
        <w:t xml:space="preserve">rispetto a quella italiana e regionale;</w:t>
      </w:r>
    </w:p>
    <w:p>
      <w:pPr>
        <w:pStyle w:val="BodyText"/>
      </w:pPr>
      <w:r>
        <w:t xml:space="preserve">- nelle femmine residenti in Basilicata: un maggior tasso di mortalità a</w:t>
      </w:r>
      <w:r>
        <w:t xml:space="preserve"> </w:t>
      </w:r>
      <w:r>
        <w:t xml:space="preserve">partire dal 2014 rispetto a quello italiano.</w:t>
      </w:r>
    </w:p>
    <w:p>
      <w:pPr>
        <w:pStyle w:val="BodyText"/>
      </w:pPr>
      <w:r>
        <w:br w:type="textWrapping"/>
      </w:r>
      <w:r>
        <w:br w:type="textWrapping"/>
      </w:r>
      <w:r>
        <w:t xml:space="preserve">L’analisi della mortalità a livello comunale, rispetto al riferimento</w:t>
      </w:r>
      <w:r>
        <w:t xml:space="preserve"> </w:t>
      </w:r>
      <w:r>
        <w:t xml:space="preserve">regionale, consente di evidenziare gli specifici enti civici che</w:t>
      </w:r>
      <w:r>
        <w:t xml:space="preserve"> </w:t>
      </w:r>
      <w:r>
        <w:t xml:space="preserve">denotano criticità che potrebbero necessitare ulteriori indagini volte</w:t>
      </w:r>
      <w:r>
        <w:t xml:space="preserve"> </w:t>
      </w:r>
      <w:r>
        <w:t xml:space="preserve">ad evidenziarne le cause. Si evidenziano quindi i Comuni i cui Rapporti</w:t>
      </w:r>
      <w:r>
        <w:t xml:space="preserve"> </w:t>
      </w:r>
      <w:r>
        <w:t xml:space="preserve">Standardizzati di Mortalità (SMR) nel periodo 2012-2016 denotano eccessi</w:t>
      </w:r>
      <w:r>
        <w:t xml:space="preserve"> </w:t>
      </w:r>
      <w:r>
        <w:t xml:space="preserve">di mortalità, in ordine decrescente per limite inferiore di confidenza:</w:t>
      </w:r>
    </w:p>
    <w:p>
      <w:pPr>
        <w:pStyle w:val="BodyText"/>
      </w:pPr>
      <w:r>
        <w:t xml:space="preserve">- per i</w:t>
      </w:r>
      <w:r>
        <w:t xml:space="preserve"> </w:t>
      </w:r>
      <w:r>
        <w:rPr>
          <w:b/>
        </w:rPr>
        <w:t xml:space="preserve">maschi</w:t>
      </w:r>
      <w:r>
        <w:t xml:space="preserve">: Guardia Perticara, Craco, San Severino Lucano,</w:t>
      </w:r>
      <w:r>
        <w:t xml:space="preserve"> </w:t>
      </w:r>
      <w:r>
        <w:t xml:space="preserve">Valsinni, Cirigliano, Montemilone, San Chirico Nuovo, Filiano, Corleto</w:t>
      </w:r>
      <w:r>
        <w:t xml:space="preserve"> </w:t>
      </w:r>
      <w:r>
        <w:t xml:space="preserve">Perticara, Tramutola, Satriano di Lucania, Avigliano, Sant’Angelo Le</w:t>
      </w:r>
      <w:r>
        <w:t xml:space="preserve"> </w:t>
      </w:r>
      <w:r>
        <w:t xml:space="preserve">Fratte, Rotondella, Palazzo San Gervasio, Gorgoglione, Terranova di</w:t>
      </w:r>
      <w:r>
        <w:t xml:space="preserve"> </w:t>
      </w:r>
      <w:r>
        <w:t xml:space="preserve">Pollino.</w:t>
      </w:r>
    </w:p>
    <w:p>
      <w:pPr>
        <w:pStyle w:val="BodyText"/>
      </w:pPr>
      <w:r>
        <w:t xml:space="preserve">- per le</w:t>
      </w:r>
      <w:r>
        <w:t xml:space="preserve"> </w:t>
      </w:r>
      <w:r>
        <w:rPr>
          <w:b/>
        </w:rPr>
        <w:t xml:space="preserve">femmine</w:t>
      </w:r>
      <w:r>
        <w:t xml:space="preserve">: Valsinni, Garaguso, Aliano, Noepli, Bernalda,</w:t>
      </w:r>
      <w:r>
        <w:t xml:space="preserve"> </w:t>
      </w:r>
      <w:r>
        <w:t xml:space="preserve">Calvello, Brienza, Montalbano Jonico, Gallicchio.</w:t>
      </w:r>
    </w:p>
    <w:p>
      <w:pPr>
        <w:pStyle w:val="BodyText"/>
      </w:pPr>
      <w:r>
        <w:t xml:space="preserve">- per la popolazione complessiva (</w:t>
      </w:r>
      <w:r>
        <w:rPr>
          <w:b/>
        </w:rPr>
        <w:t xml:space="preserve">maschi+femmine</w:t>
      </w:r>
      <w:r>
        <w:t xml:space="preserve">): Valsinni,</w:t>
      </w:r>
      <w:r>
        <w:t xml:space="preserve"> </w:t>
      </w:r>
      <w:r>
        <w:t xml:space="preserve">Craco, San Severino Lucano, Guardia Perticara, Gallicchio, Satriano di</w:t>
      </w:r>
      <w:r>
        <w:t xml:space="preserve"> </w:t>
      </w:r>
      <w:r>
        <w:t xml:space="preserve">Lucania, Bernalda, Aliano, Gorgoglione, Lagonegro, Brienza, Abriola,</w:t>
      </w:r>
      <w:r>
        <w:t xml:space="preserve"> </w:t>
      </w:r>
      <w:r>
        <w:t xml:space="preserve">Terranova di Pollino, Calvello.</w:t>
      </w:r>
    </w:p>
    <w:p>
      <w:pPr>
        <w:pStyle w:val="BodyText"/>
      </w:pPr>
      <w:r>
        <w:br w:type="textWrapping"/>
      </w:r>
      <w:r>
        <w:t xml:space="preserve">Qualora le cause di decesso fossero fornite dall’ISTAT a livello</w:t>
      </w:r>
      <w:r>
        <w:t xml:space="preserve"> </w:t>
      </w:r>
      <w:r>
        <w:t xml:space="preserve">comunale, in luogo che provinciale, l’analisi standardizzata della</w:t>
      </w:r>
      <w:r>
        <w:t xml:space="preserve"> </w:t>
      </w:r>
      <w:r>
        <w:t xml:space="preserve">mortalità potrebbe già cogliere le specifiche patologie che determinano</w:t>
      </w:r>
      <w:r>
        <w:t xml:space="preserve"> </w:t>
      </w:r>
      <w:r>
        <w:t xml:space="preserve">tali eccessi. Ove Istat fornisse a livello provinciale (e magari anche</w:t>
      </w:r>
      <w:r>
        <w:t xml:space="preserve"> </w:t>
      </w:r>
      <w:r>
        <w:t xml:space="preserve">comunale) non solo la causa di decesso, ma anche l’informazione dell’età</w:t>
      </w:r>
      <w:r>
        <w:t xml:space="preserve"> </w:t>
      </w:r>
      <w:r>
        <w:t xml:space="preserve">al momento del decesso, sarebbe possibile cogliere le specifiche fasce</w:t>
      </w:r>
      <w:r>
        <w:t xml:space="preserve"> </w:t>
      </w:r>
      <w:r>
        <w:t xml:space="preserve">d’età in cui si presentano eccessi di mortalità ed effettuare anche</w:t>
      </w:r>
      <w:r>
        <w:t xml:space="preserve"> </w:t>
      </w:r>
      <w:r>
        <w:t xml:space="preserve">l’analisi standardizzata con metodo diretto, ovvero calcolando i tassi</w:t>
      </w:r>
      <w:r>
        <w:t xml:space="preserve"> </w:t>
      </w:r>
      <w:r>
        <w:t xml:space="preserve">standardizzati di mortalità rispetto ad una popolazione di riferimento.</w:t>
      </w:r>
    </w:p>
    <w:p>
      <w:pPr>
        <w:pStyle w:val="BodyText"/>
      </w:pPr>
      <w:r>
        <w:t xml:space="preserve">Questi dati dunque, qualora forniti ad un maggiore livello di dettaglio</w:t>
      </w:r>
      <w:r>
        <w:t xml:space="preserve"> </w:t>
      </w:r>
      <w:r>
        <w:t xml:space="preserve">(cause ed età al decesso a livello comunale) consentirebbero quindi</w:t>
      </w:r>
      <w:r>
        <w:t xml:space="preserve"> </w:t>
      </w:r>
      <w:r>
        <w:t xml:space="preserve">agevolmente di ricostruire un miglior quadro epidemiologico della</w:t>
      </w:r>
      <w:r>
        <w:t xml:space="preserve"> </w:t>
      </w:r>
      <w:r>
        <w:t xml:space="preserve">cittadinanza per territorio di residenza. I dati, che sono della</w:t>
      </w:r>
      <w:r>
        <w:t xml:space="preserve"> </w:t>
      </w:r>
      <w:r>
        <w:t xml:space="preserve">collettività, sono quindi raccolti, ma resi pubblici ad un livello di</w:t>
      </w:r>
      <w:r>
        <w:t xml:space="preserve"> </w:t>
      </w:r>
      <w:r>
        <w:t xml:space="preserve">dettaglio inferiore rispetto a quello utile a poter fornire le migliori</w:t>
      </w:r>
      <w:r>
        <w:t xml:space="preserve"> </w:t>
      </w:r>
      <w:r>
        <w:t xml:space="preserve">evidenze epidemiologiche. La collettività, prima portatrice</w:t>
      </w:r>
      <w:r>
        <w:t xml:space="preserve"> </w:t>
      </w:r>
      <w:r>
        <w:t xml:space="preserve">dell’interesse della salute pubblica, potrebbe quindi attivarsi affinché</w:t>
      </w:r>
      <w:r>
        <w:t xml:space="preserve"> </w:t>
      </w:r>
      <w:r>
        <w:t xml:space="preserve">tali dati siano effettivamente resi disponibili ed utilizzati in tale</w:t>
      </w:r>
      <w:r>
        <w:t xml:space="preserve"> </w:t>
      </w:r>
      <w:r>
        <w:t xml:space="preserve">ottica. Appare evidente, difatti, come il non avere conoscenza</w:t>
      </w:r>
      <w:r>
        <w:t xml:space="preserve"> </w:t>
      </w:r>
      <w:r>
        <w:t xml:space="preserve">tempestiva e periodicamente aggiornabile dello stato di salute di una</w:t>
      </w:r>
      <w:r>
        <w:t xml:space="preserve"> </w:t>
      </w:r>
      <w:r>
        <w:t xml:space="preserve">cittadinanza non consenta neanche di poter attivare alcun intervento</w:t>
      </w:r>
      <w:r>
        <w:t xml:space="preserve"> </w:t>
      </w:r>
      <w:r>
        <w:t xml:space="preserve">volto a migliorarne le condizioni.</w:t>
      </w:r>
    </w:p>
    <w:p>
      <w:pPr>
        <w:pStyle w:val="Heading1"/>
      </w:pPr>
      <w:bookmarkStart w:id="48" w:name="section"/>
      <w:bookmarkEnd w:id="48"/>
    </w:p>
    <w:p>
      <w:pPr>
        <w:pStyle w:val="Heading1"/>
      </w:pPr>
      <w:bookmarkStart w:id="49" w:name="conclusione"/>
      <w:bookmarkEnd w:id="49"/>
      <w:r>
        <w:t xml:space="preserve">Conclusione</w:t>
      </w:r>
    </w:p>
    <w:p>
      <w:pPr>
        <w:pStyle w:val="FirstParagraph"/>
      </w:pPr>
      <w:r>
        <w:t xml:space="preserve">Rispetto all’Italia emerge dall’analisi dei tassi standardizzati di</w:t>
      </w:r>
      <w:r>
        <w:t xml:space="preserve"> </w:t>
      </w:r>
      <w:r>
        <w:t xml:space="preserve">mortalità, nel corso del quinquennio 2012-2016, un deterioramento dello</w:t>
      </w:r>
      <w:r>
        <w:t xml:space="preserve"> </w:t>
      </w:r>
      <w:r>
        <w:t xml:space="preserve">stato di salute negli uomini residenti nella provincia di Matera ed in</w:t>
      </w:r>
      <w:r>
        <w:t xml:space="preserve"> </w:t>
      </w:r>
      <w:r>
        <w:t xml:space="preserve">generale per le donne residenti nella regione Basilicata, in quanto</w:t>
      </w:r>
      <w:r>
        <w:t xml:space="preserve"> </w:t>
      </w:r>
      <w:r>
        <w:t xml:space="preserve">passano dall’avere un minor tasso di mortalità all’averne uno maggiore</w:t>
      </w:r>
      <w:r>
        <w:t xml:space="preserve"> </w:t>
      </w:r>
      <w:r>
        <w:t xml:space="preserve">rispetto a quello italiano.</w:t>
      </w:r>
    </w:p>
    <w:p>
      <w:pPr>
        <w:pStyle w:val="BodyText"/>
      </w:pPr>
      <w:r>
        <w:t xml:space="preserve">La conoscenza degli specifici eccessi di mortalità per ogni sesso</w:t>
      </w:r>
      <w:r>
        <w:t xml:space="preserve"> </w:t>
      </w:r>
      <w:r>
        <w:t xml:space="preserve">evidenziati dai Rapporti Standardizzati di Mortalità (SMR) nel</w:t>
      </w:r>
      <w:r>
        <w:t xml:space="preserve"> </w:t>
      </w:r>
      <w:r>
        <w:t xml:space="preserve">quadriennio 2012-2015 per i residenti nelle province della Basilicata,</w:t>
      </w:r>
      <w:r>
        <w:t xml:space="preserve"> </w:t>
      </w:r>
      <w:r>
        <w:t xml:space="preserve">rispetto al riferimento nazionale ed a livello di gruppi di cause e</w:t>
      </w:r>
      <w:r>
        <w:t xml:space="preserve"> </w:t>
      </w:r>
      <w:r>
        <w:t xml:space="preserve">singole cause di decesso, consente di poter attivare le migliori</w:t>
      </w:r>
      <w:r>
        <w:t xml:space="preserve"> </w:t>
      </w:r>
      <w:r>
        <w:t xml:space="preserve">politiche sanitarie sul territorio, anche in funzione delle evidenze</w:t>
      </w:r>
      <w:r>
        <w:t xml:space="preserve"> </w:t>
      </w:r>
      <w:r>
        <w:t xml:space="preserve">degli specifici eccessi di mortalità evidenziati per maschi, femmine ed</w:t>
      </w:r>
      <w:r>
        <w:t xml:space="preserve"> </w:t>
      </w:r>
      <w:r>
        <w:t xml:space="preserve">intera popolazione dagli SMR elaborati per ogni Comune avendo a</w:t>
      </w:r>
      <w:r>
        <w:t xml:space="preserve"> </w:t>
      </w:r>
      <w:r>
        <w:t xml:space="preserve">riferimento la Regione Basilicata nel suo complesso.</w:t>
      </w:r>
    </w:p>
    <w:p>
      <w:pPr>
        <w:pStyle w:val="BodyText"/>
      </w:pPr>
      <w:r>
        <w:t xml:space="preserve">Una ulteriore e ben augurabile messa a disposizione pubblica dei dati</w:t>
      </w:r>
      <w:r>
        <w:t xml:space="preserve"> </w:t>
      </w:r>
      <w:r>
        <w:t xml:space="preserve">ufficiali dell’età al decesso e delle cause dello stesso a livello</w:t>
      </w:r>
      <w:r>
        <w:t xml:space="preserve"> </w:t>
      </w:r>
      <w:r>
        <w:t xml:space="preserve">comunale consentirebbe di ulteriormente affinare l’analisi per</w:t>
      </w:r>
      <w:r>
        <w:t xml:space="preserve"> </w:t>
      </w:r>
      <w:r>
        <w:t xml:space="preserve">individuare tempestivamente le problematiche e porre in essere le</w:t>
      </w:r>
      <w:r>
        <w:t xml:space="preserve"> </w:t>
      </w:r>
      <w:r>
        <w:t xml:space="preserve">opportune azioni di prevenzione primaria e secondaria atte a risolverle.</w:t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1037ffdd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1">
    <w:nsid w:val="ce609710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  <w:num w:numId="1001">
    <w:abstractNumId w:val="99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29" Target="media/rId29.png" /><Relationship Type="http://schemas.openxmlformats.org/officeDocument/2006/relationships/image" Id="rId34" Target="media/rId34.png" /><Relationship Type="http://schemas.openxmlformats.org/officeDocument/2006/relationships/image" Id="rId33" Target="media/rId33.png" /><Relationship Type="http://schemas.openxmlformats.org/officeDocument/2006/relationships/image" Id="rId31" Target="media/rId31.png" /><Relationship Type="http://schemas.openxmlformats.org/officeDocument/2006/relationships/image" Id="rId32" Target="media/rId32.png" /><Relationship Type="http://schemas.openxmlformats.org/officeDocument/2006/relationships/image" Id="rId30" Target="media/rId30.png" /><Relationship Type="http://schemas.openxmlformats.org/officeDocument/2006/relationships/image" Id="rId38" Target="media/rId38.png" /><Relationship Type="http://schemas.openxmlformats.org/officeDocument/2006/relationships/image" Id="rId39" Target="media/rId39.png" /><Relationship Type="http://schemas.openxmlformats.org/officeDocument/2006/relationships/image" Id="rId40" Target="media/rId40.png" /><Relationship Type="http://schemas.openxmlformats.org/officeDocument/2006/relationships/image" Id="rId41" Target="media/rId41.png" /><Relationship Type="http://schemas.openxmlformats.org/officeDocument/2006/relationships/image" Id="rId42" Target="media/rId42.png" /><Relationship Type="http://schemas.openxmlformats.org/officeDocument/2006/relationships/image" Id="rId43" Target="media/rId43.png" /><Relationship Type="http://schemas.openxmlformats.org/officeDocument/2006/relationships/image" Id="rId44" Target="media/rId44.png" /><Relationship Type="http://schemas.openxmlformats.org/officeDocument/2006/relationships/image" Id="rId45" Target="media/rId45.png" /><Relationship Type="http://schemas.openxmlformats.org/officeDocument/2006/relationships/image" Id="rId46" Target="media/rId46.png" /><Relationship Type="http://schemas.openxmlformats.org/officeDocument/2006/relationships/image" Id="rId37" Target="media/rId37.png" /><Relationship Type="http://schemas.openxmlformats.org/officeDocument/2006/relationships/image" Id="rId36" Target="media/rId36.png" /><Relationship Type="http://schemas.openxmlformats.org/officeDocument/2006/relationships/hyperlink" Id="rId23" Target="http://www.dati.istat.it/" TargetMode="External" /><Relationship Type="http://schemas.openxmlformats.org/officeDocument/2006/relationships/hyperlink" Id="rId25" Target="http://www.gatesfoundation.org/" TargetMode="External" /><Relationship Type="http://schemas.openxmlformats.org/officeDocument/2006/relationships/hyperlink" Id="rId28" Target="https://www.authorea.com/users/228569/articles/291461/master/file/bibliography/2012-15%20smr%20x%20patologie%20prov%20PZ%20e%20MT%20e%20BASILICATA.pdf" TargetMode="External" /></Relationships>
</file>

<file path=word/_rels/footnotes.xml.rels><?xml version="1.0" encoding="UTF-8"?>
<Relationships xmlns="http://schemas.openxmlformats.org/package/2006/relationships"><Relationship Type="http://schemas.openxmlformats.org/officeDocument/2006/relationships/hyperlink" Id="rId23" Target="http://www.dati.istat.it/" TargetMode="External" /><Relationship Type="http://schemas.openxmlformats.org/officeDocument/2006/relationships/hyperlink" Id="rId25" Target="http://www.gatesfoundation.org/" TargetMode="External" /><Relationship Type="http://schemas.openxmlformats.org/officeDocument/2006/relationships/hyperlink" Id="rId28" Target="https://www.authorea.com/users/228569/articles/291461/master/file/bibliography/2012-15%20smr%20x%20patologie%20prov%20PZ%20e%20MT%20e%20BASILICATA.pdf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BASILICATA 2012-2016 - ANALISI DELLA MORTALITÀ STANDARDIZZATA PER ETA’ </dc:title>
  <dc:creator>Antonello Russo</dc:creator>
  <dcterms:created xsi:type="dcterms:W3CDTF">2018-04-06T09:53:45Z</dcterms:created>
  <dcterms:modified xsi:type="dcterms:W3CDTF">2018-04-06T09:53:45Z</dcterms:modified>
</cp:coreProperties>
</file>