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ahmed.hemedan</w:t>
      </w:r>
    </w:p>
    <w:p>
      <w:pPr>
        <w:pStyle w:val="Heading1"/>
      </w:pPr>
      <w:bookmarkStart w:id="21" w:name="using-machine-learning-modeling-to-mitigate-the-climatic-fluctuations-on-angiotensin-converting-enzyme-ace-inhibition-activity."/>
      <w:bookmarkEnd w:id="21"/>
      <w:r>
        <w:t xml:space="preserve">Using Machine learning  modeling to mitigate the Climatic</w:t>
      </w:r>
      <w:r>
        <w:t xml:space="preserve"> </w:t>
      </w:r>
      <w:r>
        <w:t xml:space="preserve">fluctuations on  Angiotensin  converting enzyme (ACE) inhibition</w:t>
      </w:r>
      <w:r>
        <w:t xml:space="preserve"> </w:t>
      </w:r>
      <w:r>
        <w:t xml:space="preserve">activity.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2" w:name="abstract."/>
      <w:bookmarkEnd w:id="22"/>
      <w:r>
        <w:t xml:space="preserve">Abstract.</w:t>
      </w:r>
    </w:p>
    <w:p>
      <w:pPr>
        <w:pStyle w:val="FirstParagraph"/>
      </w:pPr>
      <w:r>
        <w:t xml:space="preserve">Currently, the anticipated climatic change hazards redirect  the</w:t>
      </w:r>
      <w:r>
        <w:t xml:space="preserve"> </w:t>
      </w:r>
      <w:r>
        <w:t xml:space="preserve">emergency plans to adapt and control their worldwide risk .That’s why,</w:t>
      </w:r>
      <w:r>
        <w:t xml:space="preserve"> </w:t>
      </w:r>
      <w:r>
        <w:t xml:space="preserve">the continuous data sharing from medical platforms on climate change </w:t>
      </w:r>
      <w:r>
        <w:t xml:space="preserve"> </w:t>
      </w:r>
      <w:r>
        <w:t xml:space="preserve">should be strengthened, to translate the outcomes of climate change into</w:t>
      </w:r>
      <w:r>
        <w:t xml:space="preserve"> </w:t>
      </w:r>
      <w:r>
        <w:t xml:space="preserve">biological and medical insights .  In this commentary,  we develop an</w:t>
      </w:r>
      <w:r>
        <w:t xml:space="preserve"> </w:t>
      </w:r>
      <w:r>
        <w:t xml:space="preserve">initiative paradigm to model the climatic fluctuations on marine-sourced</w:t>
      </w:r>
      <w:r>
        <w:t xml:space="preserve"> </w:t>
      </w:r>
      <w:r>
        <w:t xml:space="preserve">hydrolysates that affects directly on  ACE inhibition activity in drug</w:t>
      </w:r>
      <w:r>
        <w:t xml:space="preserve"> </w:t>
      </w:r>
      <w:r>
        <w:t xml:space="preserve">industry . On top, the further aim is to regulate a descriptive network</w:t>
      </w:r>
      <w:r>
        <w:t xml:space="preserve"> </w:t>
      </w:r>
      <w:r>
        <w:t xml:space="preserve">starting from the climate change features , passing by the aquatic</w:t>
      </w:r>
      <w:r>
        <w:t xml:space="preserve"> </w:t>
      </w:r>
      <w:r>
        <w:t xml:space="preserve">ecosystem alterations  to finally  predict the Angiotensin  converting</w:t>
      </w:r>
      <w:r>
        <w:t xml:space="preserve"> </w:t>
      </w:r>
      <w:r>
        <w:t xml:space="preserve">enzyme (ACE) inhibition activity on hypertensive patients.  For</w:t>
      </w:r>
      <w:r>
        <w:t xml:space="preserve"> </w:t>
      </w:r>
      <w:r>
        <w:t xml:space="preserve">this,  </w:t>
      </w:r>
      <w:r>
        <w:rPr>
          <w:b/>
        </w:rPr>
        <w:t xml:space="preserve">(please Mohamed describe the model with professional way</w:t>
      </w:r>
      <w:r>
        <w:rPr>
          <w:b/>
        </w:rPr>
        <w:t xml:space="preserve"> </w:t>
      </w:r>
      <w:r>
        <w:rPr>
          <w:b/>
        </w:rPr>
        <w:t xml:space="preserve">in related to the topic showing its compatibility with the scenario of</w:t>
      </w:r>
      <w:r>
        <w:rPr>
          <w:b/>
        </w:rPr>
        <w:t xml:space="preserve"> </w:t>
      </w:r>
      <w:r>
        <w:rPr>
          <w:b/>
        </w:rPr>
        <w:t xml:space="preserve">climate change and pharmaceutical).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introduction"/>
      <w:bookmarkEnd w:id="23"/>
      <w:r>
        <w:t xml:space="preserve">Introduction </w:t>
      </w:r>
    </w:p>
    <w:p>
      <w:pPr>
        <w:pStyle w:val="FirstParagraph"/>
      </w:pPr>
      <w:r>
        <w:t xml:space="preserve">Climate change alarm a striking change on human health in different</w:t>
      </w:r>
      <w:r>
        <w:t xml:space="preserve"> </w:t>
      </w:r>
      <w:r>
        <w:t xml:space="preserve">settings especially in various adaptation capacities</w:t>
      </w:r>
      <w:r>
        <w:t xml:space="preserve">[</w:t>
      </w:r>
      <w:r>
        <w:t xml:space="preserve">1</w:t>
      </w:r>
      <w:r>
        <w:t xml:space="preserve">]</w:t>
      </w:r>
      <w:r>
        <w:t xml:space="preserve">. For this,</w:t>
      </w:r>
      <w:r>
        <w:t xml:space="preserve"> </w:t>
      </w:r>
      <w:r>
        <w:t xml:space="preserve">scientists from different localities generate enormous amount of data</w:t>
      </w:r>
      <w:r>
        <w:t xml:space="preserve"> </w:t>
      </w:r>
      <w:r>
        <w:t xml:space="preserve">describing both direct and indirect climatic effects in relation to the</w:t>
      </w:r>
      <w:r>
        <w:t xml:space="preserve"> </w:t>
      </w:r>
      <w:r>
        <w:t xml:space="preserve">biomedical research. A factual example that correlates both effects is</w:t>
      </w:r>
      <w:r>
        <w:t xml:space="preserve"> </w:t>
      </w:r>
      <w:r>
        <w:t xml:space="preserve">the water biology. Noteworthy, the recent hypertension cases were</w:t>
      </w:r>
      <w:r>
        <w:t xml:space="preserve"> </w:t>
      </w:r>
      <w:r>
        <w:t xml:space="preserve">founded to be associated with drinking water salinization that is</w:t>
      </w:r>
      <w:r>
        <w:t xml:space="preserve"> </w:t>
      </w:r>
      <w:r>
        <w:t xml:space="preserve">intimately related with climate change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.</w:t>
      </w:r>
    </w:p>
    <w:p>
      <w:pPr>
        <w:pStyle w:val="BodyText"/>
      </w:pPr>
      <w:r>
        <w:br w:type="textWrapping"/>
      </w:r>
      <w:r>
        <w:t xml:space="preserve">In 2017, scientists have reported the relationship between the structure</w:t>
      </w:r>
      <w:r>
        <w:t xml:space="preserve"> </w:t>
      </w:r>
      <w:r>
        <w:t xml:space="preserve">of peptides and ACE inhibition has not been fully elucidated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.</w:t>
      </w:r>
      <w:r>
        <w:t xml:space="preserve"> </w:t>
      </w:r>
      <w:r>
        <w:t xml:space="preserve">With this, we developed a machine learning model that can predict the</w:t>
      </w:r>
      <w:r>
        <w:t xml:space="preserve"> </w:t>
      </w:r>
      <w:r>
        <w:t xml:space="preserve">altered peptides bioactivity in a wake of  temperature fluctuations</w:t>
      </w:r>
      <w:r>
        <w:t xml:space="preserve"> </w:t>
      </w:r>
      <w:r>
        <w:t xml:space="preserve">[</w:t>
      </w:r>
      <w:r>
        <w:t xml:space="preserve">3</w:t>
      </w:r>
      <w:r>
        <w:t xml:space="preserve">]</w:t>
      </w:r>
      <w:r>
        <w:t xml:space="preserve">. In turn,  this unveils the hidden role of climate change on the</w:t>
      </w:r>
      <w:r>
        <w:t xml:space="preserve"> </w:t>
      </w:r>
      <w:r>
        <w:t xml:space="preserve">frequent uncontrolled alteration in the ACE-inhibitory activity. </w:t>
      </w:r>
      <w:r>
        <w:t xml:space="preserve"> </w:t>
      </w:r>
      <w:r>
        <w:t xml:space="preserve">Therefore, it is of significance to model this alteration for keeping </w:t>
      </w:r>
      <w:r>
        <w:t xml:space="preserve"> </w:t>
      </w:r>
      <w:r>
        <w:t xml:space="preserve">the sustainable mitigation strategies updated.</w:t>
      </w:r>
      <w:r>
        <w:t xml:space="preserve"> </w:t>
      </w:r>
      <w:r>
        <w:rPr>
          <w:b/>
        </w:rPr>
        <w:t xml:space="preserve">(Please Mohamed</w:t>
      </w:r>
      <w:r>
        <w:rPr>
          <w:b/>
        </w:rPr>
        <w:t xml:space="preserve"> </w:t>
      </w:r>
      <w:r>
        <w:rPr>
          <w:b/>
        </w:rPr>
        <w:t xml:space="preserve">add a descriptive paragraph about the features that will be used in that</w:t>
      </w:r>
      <w:r>
        <w:rPr>
          <w:b/>
        </w:rPr>
        <w:t xml:space="preserve"> </w:t>
      </w:r>
      <w:r>
        <w:rPr>
          <w:b/>
        </w:rPr>
        <w:t xml:space="preserve">trend and I will be further melt it with another descriptive criteria)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algorithm"/>
      <w:bookmarkEnd w:id="24"/>
      <w:r>
        <w:t xml:space="preserve">Algorithm: 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</w:p>
    <w:p>
      <w:pPr>
        <w:pStyle w:val="Heading2"/>
      </w:pPr>
      <w:bookmarkStart w:id="25" w:name="experimental-results-and-discussion"/>
      <w:bookmarkEnd w:id="25"/>
      <w:r>
        <w:t xml:space="preserve">Experimental Results and</w:t>
      </w:r>
      <w:r>
        <w:t xml:space="preserve"> </w:t>
      </w:r>
      <w:r>
        <w:t xml:space="preserve">Discussion:</w:t>
      </w:r>
    </w:p>
    <w:p>
      <w:pPr>
        <w:pStyle w:val="Heading3"/>
      </w:pPr>
      <w:bookmarkStart w:id="26" w:name="dataset-collection"/>
      <w:bookmarkEnd w:id="26"/>
      <w:r>
        <w:t xml:space="preserve">Dataset collection</w:t>
      </w:r>
    </w:p>
    <w:p>
      <w:pPr>
        <w:pStyle w:val="FirstParagraph"/>
      </w:pPr>
      <w:r>
        <w:t xml:space="preserve">By-products of 120 fresh farmed tilapia (oreochromus niloticus) were</w:t>
      </w:r>
      <w:r>
        <w:t xml:space="preserve"> </w:t>
      </w:r>
      <w:r>
        <w:t xml:space="preserve">collected every month over a year at Kafrelsheikh Governorate, Egypt</w:t>
      </w:r>
      <w:r>
        <w:t xml:space="preserve"> </w:t>
      </w:r>
      <w:r>
        <w:t xml:space="preserve">(One of the most important areas in the production of tilapia in the</w:t>
      </w:r>
      <w:r>
        <w:t xml:space="preserve"> </w:t>
      </w:r>
      <w:r>
        <w:t xml:space="preserve">world). We collected fish byproduct under measured parameters (weight,</w:t>
      </w:r>
      <w:r>
        <w:t xml:space="preserve"> </w:t>
      </w:r>
      <w:r>
        <w:t xml:space="preserve">Sex, length, water quality, ration). Then, they were minced and stored</w:t>
      </w:r>
      <w:r>
        <w:t xml:space="preserve"> </w:t>
      </w:r>
      <w:r>
        <w:t xml:space="preserve">at −30 °C till use. The following steps shows the Enzymatic hydrolysis</w:t>
      </w:r>
      <w:r>
        <w:t xml:space="preserve"> </w:t>
      </w:r>
      <w:r>
        <w:t xml:space="preserve">reaction process for preparing the data samples.</w:t>
      </w:r>
    </w:p>
    <w:p>
      <w:pPr>
        <w:numPr>
          <w:numId w:val="1001"/>
          <w:ilvl w:val="0"/>
        </w:numPr>
      </w:pPr>
      <w:r>
        <w:t xml:space="preserve">Thawing the stored by product over night in cold place(4 °C).</w:t>
      </w:r>
    </w:p>
    <w:p>
      <w:pPr>
        <w:numPr>
          <w:numId w:val="1001"/>
          <w:ilvl w:val="0"/>
        </w:numPr>
      </w:pPr>
      <w:r>
        <w:t xml:space="preserve">15% of the samples volume mixed with 50 ml phosphate buffer saline</w:t>
      </w:r>
      <w:r>
        <w:t xml:space="preserve"> </w:t>
      </w:r>
      <w:r>
        <w:t xml:space="preserve">(pH 7.5).</w:t>
      </w:r>
    </w:p>
    <w:p>
      <w:pPr>
        <w:numPr>
          <w:numId w:val="1001"/>
          <w:ilvl w:val="0"/>
        </w:numPr>
      </w:pPr>
      <w:r>
        <w:t xml:space="preserve">Pre-incubation at 60 °C for 20 minutes.</w:t>
      </w:r>
    </w:p>
    <w:p>
      <w:pPr>
        <w:numPr>
          <w:numId w:val="1001"/>
          <w:ilvl w:val="0"/>
        </w:numPr>
      </w:pPr>
      <w:r>
        <w:t xml:space="preserve">Adding alcalase enzyme (2.5%)to initiate the enzymatic hydrolysis</w:t>
      </w:r>
      <w:r>
        <w:t xml:space="preserve"> </w:t>
      </w:r>
      <w:r>
        <w:t xml:space="preserve">reaction.</w:t>
      </w:r>
    </w:p>
    <w:p>
      <w:pPr>
        <w:numPr>
          <w:numId w:val="1001"/>
          <w:ilvl w:val="0"/>
        </w:numPr>
      </w:pPr>
      <w:r>
        <w:t xml:space="preserve">Heating in water bath (90 °C) for 15 minutes.</w:t>
      </w:r>
    </w:p>
    <w:p>
      <w:pPr>
        <w:numPr>
          <w:numId w:val="1001"/>
          <w:ilvl w:val="0"/>
        </w:numPr>
      </w:pPr>
      <w:r>
        <w:t xml:space="preserve">Cooling in ice.</w:t>
      </w:r>
    </w:p>
    <w:p>
      <w:pPr>
        <w:numPr>
          <w:numId w:val="1001"/>
          <w:ilvl w:val="0"/>
        </w:numPr>
      </w:pPr>
      <w:r>
        <w:t xml:space="preserve">Centrifuge the cooling mixture for twenty minutes at 10000 rpm then</w:t>
      </w:r>
      <w:r>
        <w:t xml:space="preserve"> </w:t>
      </w:r>
      <w:r>
        <w:t xml:space="preserve">the hydrolysis degree was measured to the supernatant according</w:t>
      </w:r>
      <w:r>
        <w:t xml:space="preserve"> </w:t>
      </w:r>
      <w:r>
        <w:t xml:space="preserve">to</w:t>
      </w:r>
      <w:hyperlink r:id="rId27">
        <w:r>
          <w:rPr>
            <w:rStyle w:val="Hyperlink"/>
          </w:rPr>
          <w:t xml:space="preserve">27</w:t>
        </w:r>
      </w:hyperlink>
      <w:r>
        <w:t xml:space="preserve">.</w:t>
      </w:r>
    </w:p>
    <w:p>
      <w:pPr>
        <w:numPr>
          <w:numId w:val="1001"/>
          <w:ilvl w:val="0"/>
        </w:numPr>
      </w:pPr>
      <w:r>
        <w:t xml:space="preserve">Supernatant extraction then freeze dried and characterized.</w:t>
      </w:r>
    </w:p>
    <w:p>
      <w:pPr>
        <w:pStyle w:val="Heading3"/>
      </w:pPr>
      <w:bookmarkStart w:id="28" w:name="preparation-phase"/>
      <w:bookmarkEnd w:id="28"/>
      <w:r>
        <w:t xml:space="preserve">Preparation Phase</w:t>
      </w:r>
    </w:p>
    <w:p>
      <w:pPr>
        <w:pStyle w:val="FirstParagraph"/>
      </w:pPr>
      <w:r>
        <w:t xml:space="preserve">Analysis of Tilapia fish by-product and its hydrolysates powder</w:t>
      </w:r>
    </w:p>
    <w:p>
      <w:pPr>
        <w:pStyle w:val="BodyText"/>
      </w:pPr>
      <w:r>
        <w:t xml:space="preserve">The contents of tilapia fish by-product and its hydrolysates were</w:t>
      </w:r>
      <w:r>
        <w:t xml:space="preserve"> </w:t>
      </w:r>
      <w:r>
        <w:t xml:space="preserve">measured according to AOAC</w:t>
      </w:r>
      <w:r>
        <w:t xml:space="preserve"> </w:t>
      </w:r>
      <w:r>
        <w:t xml:space="preserve">method</w:t>
      </w:r>
      <w:hyperlink r:id="rId29">
        <w:r>
          <w:rPr>
            <w:rStyle w:val="Hyperlink"/>
          </w:rPr>
          <w:t xml:space="preserve">28</w:t>
        </w:r>
      </w:hyperlink>
      <w:r>
        <w:t xml:space="preserve">,</w:t>
      </w:r>
      <w:r>
        <w:t xml:space="preserve"> </w:t>
      </w:r>
      <w:r>
        <w:t xml:space="preserve">The protein content was determined using kjeldal method. Moisture</w:t>
      </w:r>
      <w:r>
        <w:t xml:space="preserve"> </w:t>
      </w:r>
      <w:r>
        <w:t xml:space="preserve">percentage was estimated with drying method. In addition, Ash content</w:t>
      </w:r>
      <w:r>
        <w:t xml:space="preserve"> </w:t>
      </w:r>
      <w:r>
        <w:t xml:space="preserve">was measured by muffle furnace. Within our study, the protein</w:t>
      </w:r>
      <w:r>
        <w:t xml:space="preserve"> </w:t>
      </w:r>
      <w:r>
        <w:t xml:space="preserve">hydrolysates were extracted with alcalase enzyme with appropriate PH and</w:t>
      </w:r>
      <w:r>
        <w:t xml:space="preserve"> </w:t>
      </w:r>
      <w:r>
        <w:t xml:space="preserve">temperature</w:t>
      </w:r>
      <w:hyperlink r:id="rId30">
        <w:r>
          <w:rPr>
            <w:rStyle w:val="Hyperlink"/>
          </w:rPr>
          <w:t xml:space="preserve">29</w:t>
        </w:r>
      </w:hyperlink>
      <w:r>
        <w:t xml:space="preserve">.</w:t>
      </w:r>
    </w:p>
    <w:p>
      <w:pPr>
        <w:pStyle w:val="BodyText"/>
      </w:pPr>
      <w:r>
        <w:t xml:space="preserve">Amino acid sequence analysis</w:t>
      </w:r>
    </w:p>
    <w:p>
      <w:pPr>
        <w:pStyle w:val="BodyText"/>
      </w:pPr>
      <w:r>
        <w:t xml:space="preserve">According</w:t>
      </w:r>
      <w:r>
        <w:t xml:space="preserve"> </w:t>
      </w:r>
      <w:r>
        <w:t xml:space="preserve">to</w:t>
      </w:r>
      <w:hyperlink r:id="rId31">
        <w:r>
          <w:rPr>
            <w:rStyle w:val="Hyperlink"/>
          </w:rPr>
          <w:t xml:space="preserve">30</w:t>
        </w:r>
      </w:hyperlink>
      <w:r>
        <w:t xml:space="preserve">,</w:t>
      </w:r>
      <w:r>
        <w:t xml:space="preserve"> </w:t>
      </w:r>
      <w:r>
        <w:t xml:space="preserve">stacking and separating gel were prepared using gel buffer with</w:t>
      </w:r>
      <w:r>
        <w:t xml:space="preserve"> </w:t>
      </w:r>
      <w:r>
        <w:t xml:space="preserve">percentage 4% and 16% respectively. Heating the sample mixture with</w:t>
      </w:r>
      <w:r>
        <w:t xml:space="preserve"> </w:t>
      </w:r>
      <w:r>
        <w:t xml:space="preserve">the buffer till 90 °C for 10 min, then loading into specific wells.</w:t>
      </w:r>
      <w:r>
        <w:t xml:space="preserve"> </w:t>
      </w:r>
      <w:r>
        <w:t xml:space="preserve">Protein standards (1.06 kDa to 26.6 kDa) were also performed on the</w:t>
      </w:r>
      <w:r>
        <w:t xml:space="preserve"> </w:t>
      </w:r>
      <w:r>
        <w:t xml:space="preserve">gels. Fixing, staining and destaining solutions were mixed with gel,</w:t>
      </w:r>
      <w:r>
        <w:t xml:space="preserve"> </w:t>
      </w:r>
      <w:r>
        <w:t xml:space="preserve">after electrophoresis then comparing the resulted protein bands with the</w:t>
      </w:r>
      <w:r>
        <w:t xml:space="preserve"> </w:t>
      </w:r>
      <w:r>
        <w:t xml:space="preserve">standard</w:t>
      </w:r>
      <w:r>
        <w:t xml:space="preserve"> </w:t>
      </w:r>
      <w:r>
        <w:t xml:space="preserve">ones</w:t>
      </w:r>
      <w:hyperlink r:id="rId32">
        <w:r>
          <w:rPr>
            <w:rStyle w:val="Hyperlink"/>
          </w:rPr>
          <w:t xml:space="preserve">31</w:t>
        </w:r>
      </w:hyperlink>
      <w:r>
        <w:t xml:space="preserve">.</w:t>
      </w:r>
    </w:p>
    <w:p>
      <w:pPr>
        <w:pStyle w:val="Heading3"/>
      </w:pPr>
      <w:bookmarkStart w:id="33" w:name="tricine-sds-page-analysis"/>
      <w:bookmarkEnd w:id="33"/>
      <w:r>
        <w:t xml:space="preserve">Tricine SDS-PAGE</w:t>
      </w:r>
      <w:r>
        <w:t xml:space="preserve"> </w:t>
      </w:r>
      <w:r>
        <w:t xml:space="preserve">analysis</w:t>
      </w:r>
    </w:p>
    <w:p>
      <w:pPr>
        <w:pStyle w:val="FirstParagraph"/>
      </w:pPr>
      <w:r>
        <w:t xml:space="preserve">According</w:t>
      </w:r>
      <w:r>
        <w:t xml:space="preserve"> </w:t>
      </w:r>
      <w:r>
        <w:t xml:space="preserve">to </w:t>
      </w:r>
      <w:hyperlink r:id="rId31">
        <w:r>
          <w:rPr>
            <w:rStyle w:val="Hyperlink"/>
          </w:rPr>
          <w:t xml:space="preserve">30</w:t>
        </w:r>
      </w:hyperlink>
      <w:r>
        <w:t xml:space="preserve">,</w:t>
      </w:r>
      <w:r>
        <w:t xml:space="preserve"> </w:t>
      </w:r>
      <w:r>
        <w:t xml:space="preserve">we performed Tricine-SDS-PAGE by preparing gel buffer with 4% and 16%</w:t>
      </w:r>
      <w:r>
        <w:t xml:space="preserve"> </w:t>
      </w:r>
      <w:r>
        <w:t xml:space="preserve">stacking and separating gel respectively, then fixing solution was added</w:t>
      </w:r>
      <w:r>
        <w:t xml:space="preserve"> </w:t>
      </w:r>
      <w:r>
        <w:t xml:space="preserve">to gels. After that staining solution was added before the destaining</w:t>
      </w:r>
      <w:r>
        <w:t xml:space="preserve"> </w:t>
      </w:r>
      <w:r>
        <w:t xml:space="preserve">solution. Comparing the resulted bands with standard protein bands.</w:t>
      </w:r>
    </w:p>
    <w:p>
      <w:pPr>
        <w:pStyle w:val="Heading3"/>
      </w:pPr>
      <w:bookmarkStart w:id="34" w:name="measuring-the-ace-inhibition-activity"/>
      <w:bookmarkEnd w:id="34"/>
      <w:r>
        <w:t xml:space="preserve"> Measuring the ACE inhibition</w:t>
      </w:r>
      <w:r>
        <w:t xml:space="preserve"> </w:t>
      </w:r>
      <w:r>
        <w:t xml:space="preserve">Activity:</w:t>
      </w:r>
    </w:p>
    <w:p>
      <w:pPr>
        <w:pStyle w:val="FirstParagraph"/>
      </w:pPr>
      <w:r>
        <w:t xml:space="preserve">(Adjust the protocol) will be added </w:t>
      </w:r>
    </w:p>
    <w:p>
      <w:pPr>
        <w:pStyle w:val="Heading2"/>
      </w:pPr>
      <w:bookmarkStart w:id="35" w:name="section"/>
      <w:bookmarkEnd w:id="35"/>
    </w:p>
    <w:p>
      <w:pPr>
        <w:pStyle w:val="Heading2"/>
      </w:pPr>
      <w:bookmarkStart w:id="36" w:name="results"/>
      <w:bookmarkEnd w:id="36"/>
      <w:r>
        <w:t xml:space="preserve">Results</w:t>
      </w:r>
    </w:p>
    <w:p>
      <w:pPr>
        <w:pStyle w:val="Heading2"/>
      </w:pPr>
      <w:bookmarkStart w:id="37" w:name="section-1"/>
      <w:bookmarkEnd w:id="37"/>
    </w:p>
    <w:p>
      <w:pPr>
        <w:pStyle w:val="Heading2"/>
      </w:pPr>
      <w:bookmarkStart w:id="38" w:name="discussion"/>
      <w:bookmarkEnd w:id="38"/>
      <w:r>
        <w:t xml:space="preserve">Discussion</w:t>
      </w:r>
    </w:p>
    <w:p>
      <w:pPr>
        <w:pStyle w:val="Heading2"/>
      </w:pPr>
      <w:bookmarkStart w:id="39" w:name="section-2"/>
      <w:bookmarkEnd w:id="39"/>
    </w:p>
    <w:p>
      <w:pPr>
        <w:pStyle w:val="Heading2"/>
      </w:pPr>
      <w:bookmarkStart w:id="40" w:name="conclusion-and-future-work"/>
      <w:bookmarkEnd w:id="40"/>
      <w:r>
        <w:t xml:space="preserve">Conclusion and Future</w:t>
      </w:r>
      <w:r>
        <w:t xml:space="preserve"> </w:t>
      </w:r>
      <w:r>
        <w:t xml:space="preserve">work</w:t>
      </w:r>
    </w:p>
    <w:p>
      <w:pPr>
        <w:pStyle w:val="Heading2"/>
      </w:pPr>
      <w:bookmarkStart w:id="41" w:name="section-3"/>
      <w:bookmarkEnd w:id="41"/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2"/>
      </w:pPr>
      <w:bookmarkStart w:id="42" w:name="references"/>
      <w:bookmarkEnd w:id="42"/>
      <w:r>
        <w:t xml:space="preserve">References: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X.-N. Zhou. </w:t>
      </w:r>
      <w:r>
        <w:rPr>
          <w:b/>
        </w:rPr>
        <w:t xml:space="preserve">Potential impacts of climate change on human</w:t>
      </w:r>
      <w:r>
        <w:rPr>
          <w:b/>
        </w:rPr>
        <w:t xml:space="preserve"> </w:t>
      </w:r>
      <w:r>
        <w:rPr>
          <w:b/>
        </w:rPr>
        <w:t xml:space="preserve">health </w:t>
      </w:r>
      <w:r>
        <w:t xml:space="preserve">Advances in Climate Change Research (in Chinese), 6 (4) (2010),</w:t>
      </w:r>
      <w:r>
        <w:t xml:space="preserve"> </w:t>
      </w:r>
      <w:r>
        <w:t xml:space="preserve">pp. 235-240.</w:t>
      </w:r>
    </w:p>
    <w:p>
      <w:pPr>
        <w:pStyle w:val="BodyText"/>
      </w:pPr>
      <w:r>
        <w:t xml:space="preserve">[</w:t>
      </w:r>
      <w:r>
        <w:t xml:space="preserve">2</w:t>
      </w:r>
      <w:r>
        <w:t xml:space="preserve">]</w:t>
      </w:r>
      <w:r>
        <w:t xml:space="preserve"> </w:t>
      </w:r>
      <w:r>
        <w:t xml:space="preserve">Hoque MA, Scheelbeek PFD, Vineis P, Khan AE, Ahmed KM,</w:t>
      </w:r>
      <w:r>
        <w:t xml:space="preserve"> </w:t>
      </w:r>
      <w:r>
        <w:t xml:space="preserve">Butler AP. </w:t>
      </w:r>
      <w:r>
        <w:rPr>
          <w:b/>
        </w:rPr>
        <w:t xml:space="preserve">Drinking water vulnerability to climate change and</w:t>
      </w:r>
      <w:r>
        <w:rPr>
          <w:b/>
        </w:rPr>
        <w:t xml:space="preserve"> </w:t>
      </w:r>
      <w:r>
        <w:rPr>
          <w:b/>
        </w:rPr>
        <w:t xml:space="preserve">alternatives for adaptation in coastal region of Southeast Asia</w:t>
      </w:r>
      <w:r>
        <w:t xml:space="preserve">.Global</w:t>
      </w:r>
      <w:r>
        <w:t xml:space="preserve"> </w:t>
      </w:r>
      <w:r>
        <w:t xml:space="preserve">Environmental Change. 2016;136:247–263. doi: 10.1007/s10584-016-1617-1.</w:t>
      </w:r>
    </w:p>
    <w:p>
      <w:pPr>
        <w:pStyle w:val="BodyText"/>
      </w:pPr>
      <w:r>
        <w:t xml:space="preserve">[</w:t>
      </w:r>
      <w:r>
        <w:t xml:space="preserve">3</w:t>
      </w:r>
      <w:r>
        <w:t xml:space="preserve">]</w:t>
      </w:r>
      <w:r>
        <w:t xml:space="preserve">  Elaziz, Mohamed Abd  Hemdan, Ahmed Monem  Hassanien, AboulElla </w:t>
      </w:r>
      <w:r>
        <w:t xml:space="preserve"> </w:t>
      </w:r>
      <w:r>
        <w:t xml:space="preserve">Oliva, Diego Xiong, Shengwu 2017/09/07 Analysis of Bioactive Amino Acids</w:t>
      </w:r>
      <w:r>
        <w:t xml:space="preserve"> </w:t>
      </w:r>
      <w:r>
        <w:t xml:space="preserve">from Fish Hydrolysates with a New Bioinformatic Intelligent System</w:t>
      </w:r>
      <w:r>
        <w:t xml:space="preserve"> </w:t>
      </w:r>
      <w:r>
        <w:t xml:space="preserve">Approach Scientific Reports 10860  7 1</w:t>
      </w:r>
    </w:p>
    <w:p>
      <w:pPr>
        <w:pStyle w:val="BodyText"/>
      </w:pPr>
      <w:r>
        <w:t xml:space="preserve">[</w:t>
      </w:r>
      <w:r>
        <w:t xml:space="preserve">4</w:t>
      </w:r>
      <w:r>
        <w:t xml:space="preserve">]</w:t>
      </w:r>
      <w:r>
        <w:t xml:space="preserve"> </w:t>
      </w:r>
      <w:r>
        <w:t xml:space="preserve">Ceren Daskaya-Dikmen , Aysun Yucetepe , Funda Karbancioglu-Guler</w:t>
      </w:r>
      <w:r>
        <w:t xml:space="preserve"> </w:t>
      </w:r>
      <w:r>
        <w:t xml:space="preserve">1, Hayrettin Daskaya 2 and Beraat Ozcelik  Angiotensin-I-Converting</w:t>
      </w:r>
      <w:r>
        <w:t xml:space="preserve"> </w:t>
      </w:r>
      <w:r>
        <w:t xml:space="preserve">Enzyme (ACE)-Inhibitory Peptides from Plants. Nutrients 2017, 9, 316;</w:t>
      </w:r>
      <w:r>
        <w:t xml:space="preserve"> </w:t>
      </w:r>
      <w:r>
        <w:t xml:space="preserve">doi:10.3390/nu9040316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aa2fb6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27a720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www.nature.com/articles/s41598-017-10890-1#ref-CR27" TargetMode="External" /><Relationship Type="http://schemas.openxmlformats.org/officeDocument/2006/relationships/hyperlink" Id="rId29" Target="https://www.nature.com/articles/s41598-017-10890-1#ref-CR28" TargetMode="External" /><Relationship Type="http://schemas.openxmlformats.org/officeDocument/2006/relationships/hyperlink" Id="rId30" Target="https://www.nature.com/articles/s41598-017-10890-1#ref-CR29" TargetMode="External" /><Relationship Type="http://schemas.openxmlformats.org/officeDocument/2006/relationships/hyperlink" Id="rId31" Target="https://www.nature.com/articles/s41598-017-10890-1#ref-CR30" TargetMode="External" /><Relationship Type="http://schemas.openxmlformats.org/officeDocument/2006/relationships/hyperlink" Id="rId32" Target="https://www.nature.com/articles/s41598-017-10890-1#ref-CR31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www.nature.com/articles/s41598-017-10890-1#ref-CR27" TargetMode="External" /><Relationship Type="http://schemas.openxmlformats.org/officeDocument/2006/relationships/hyperlink" Id="rId29" Target="https://www.nature.com/articles/s41598-017-10890-1#ref-CR28" TargetMode="External" /><Relationship Type="http://schemas.openxmlformats.org/officeDocument/2006/relationships/hyperlink" Id="rId30" Target="https://www.nature.com/articles/s41598-017-10890-1#ref-CR29" TargetMode="External" /><Relationship Type="http://schemas.openxmlformats.org/officeDocument/2006/relationships/hyperlink" Id="rId31" Target="https://www.nature.com/articles/s41598-017-10890-1#ref-CR30" TargetMode="External" /><Relationship Type="http://schemas.openxmlformats.org/officeDocument/2006/relationships/hyperlink" Id="rId32" Target="https://www.nature.com/articles/s41598-017-10890-1#ref-CR3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ahmed.hemedan</dc:creator>
  <dcterms:created xsi:type="dcterms:W3CDTF">2018-03-14T03:06:59Z</dcterms:created>
  <dcterms:modified xsi:type="dcterms:W3CDTF">2018-03-14T03:06:59Z</dcterms:modified>
</cp:coreProperties>
</file>