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6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Rare</w:t>
      </w:r>
      <w:r>
        <w:t xml:space="preserve"> </w:t>
      </w:r>
      <w:r>
        <w:t xml:space="preserve">TTF-1</w:t>
      </w:r>
      <w:r>
        <w:t xml:space="preserve"> </w:t>
      </w:r>
      <w:r>
        <w:t xml:space="preserve">positive</w:t>
      </w:r>
      <w:r>
        <w:t xml:space="preserve"> </w:t>
      </w:r>
      <w:r>
        <w:t xml:space="preserve">tumors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sellar</w:t>
      </w:r>
      <w:r>
        <w:t xml:space="preserve"> </w:t>
      </w:r>
      <w:r>
        <w:t xml:space="preserve">region:</w:t>
      </w:r>
      <w:r>
        <w:t xml:space="preserve"> </w:t>
      </w:r>
      <w:r>
        <w:t xml:space="preserve">Barrow</w:t>
      </w:r>
      <w:r>
        <w:t xml:space="preserve"> </w:t>
      </w:r>
      <w:r>
        <w:t xml:space="preserve">Neurological</w:t>
      </w:r>
      <w:r>
        <w:t xml:space="preserve"> </w:t>
      </w:r>
      <w:r>
        <w:t xml:space="preserve">Institute</w:t>
      </w:r>
      <w:r>
        <w:t xml:space="preserve"> </w:t>
      </w:r>
      <w:r>
        <w:t xml:space="preserve">retrospective</w:t>
      </w:r>
      <w:r>
        <w:t xml:space="preserve"> </w:t>
      </w:r>
      <w:r>
        <w:t xml:space="preserve">case</w:t>
      </w:r>
      <w:r>
        <w:t xml:space="preserve"> </w:t>
      </w:r>
      <w:r>
        <w:t xml:space="preserve">series</w:t>
      </w:r>
    </w:p>
    <w:p>
      <w:pPr>
        <w:pStyle w:val="Author"/>
      </w:pPr>
      <w:r>
        <w:t xml:space="preserve">Tyler</w:t>
      </w:r>
      <w:r>
        <w:t xml:space="preserve"> </w:t>
      </w:r>
      <w:r>
        <w:t xml:space="preserve">S.</w:t>
      </w:r>
      <w:r>
        <w:t xml:space="preserve"> </w:t>
      </w:r>
      <w:r>
        <w:t xml:space="preserve">Cole</w:t>
      </w:r>
    </w:p>
    <w:p>
      <w:pPr>
        <w:pStyle w:val="Author"/>
      </w:pPr>
      <w:r>
        <w:t xml:space="preserve">Subodh</w:t>
      </w:r>
      <w:r>
        <w:t xml:space="preserve"> </w:t>
      </w:r>
      <w:r>
        <w:t xml:space="preserve">Potla</w:t>
      </w:r>
    </w:p>
    <w:p>
      <w:pPr>
        <w:pStyle w:val="Author"/>
      </w:pPr>
      <w:r>
        <w:t xml:space="preserve">william.white</w:t>
      </w:r>
    </w:p>
    <w:p>
      <w:pPr>
        <w:pStyle w:val="Author"/>
      </w:pPr>
      <w:r>
        <w:t xml:space="preserve">david.barranco</w:t>
      </w:r>
    </w:p>
    <w:p>
      <w:pPr>
        <w:pStyle w:val="Author"/>
      </w:pPr>
      <w:r>
        <w:t xml:space="preserve">andrew.little</w:t>
      </w:r>
    </w:p>
    <w:p>
      <w:pPr>
        <w:pStyle w:val="Abstract"/>
      </w:pPr>
      <w:r>
        <w:rPr>
          <w:b/>
        </w:rPr>
        <w:t xml:space="preserve">Introduction</w:t>
      </w:r>
    </w:p>
    <w:p>
      <w:pPr>
        <w:pStyle w:val="Abstract"/>
      </w:pPr>
      <w:r>
        <w:t xml:space="preserve">Granular</w:t>
      </w:r>
      <w:r>
        <w:t xml:space="preserve"> </w:t>
      </w:r>
      <w:r>
        <w:t xml:space="preserve">cell</w:t>
      </w:r>
      <w:r>
        <w:t xml:space="preserve"> </w:t>
      </w:r>
      <w:r>
        <w:t xml:space="preserve">tumors</w:t>
      </w:r>
      <w:r>
        <w:t xml:space="preserve"> </w:t>
      </w:r>
      <w:r>
        <w:t xml:space="preserve">(GCT),</w:t>
      </w:r>
      <w:r>
        <w:t xml:space="preserve"> </w:t>
      </w:r>
      <w:r>
        <w:t xml:space="preserve">pituicytomas</w:t>
      </w:r>
      <w:r>
        <w:t xml:space="preserve"> </w:t>
      </w:r>
      <w:r>
        <w:t xml:space="preserve">(PCT),</w:t>
      </w:r>
      <w:r>
        <w:t xml:space="preserve"> </w:t>
      </w:r>
      <w:r>
        <w:t xml:space="preserve">and</w:t>
      </w:r>
      <w:r>
        <w:t xml:space="preserve"> </w:t>
      </w:r>
      <w:r>
        <w:t xml:space="preserve">spindle</w:t>
      </w:r>
      <w:r>
        <w:t xml:space="preserve"> </w:t>
      </w:r>
      <w:r>
        <w:t xml:space="preserve">cell</w:t>
      </w:r>
      <w:r>
        <w:t xml:space="preserve"> </w:t>
      </w:r>
      <w:r>
        <w:t xml:space="preserve">oncocytomas</w:t>
      </w:r>
      <w:r>
        <w:t xml:space="preserve"> </w:t>
      </w:r>
      <w:r>
        <w:t xml:space="preserve">(SCO)</w:t>
      </w:r>
      <w:r>
        <w:t xml:space="preserve"> </w:t>
      </w:r>
      <w:r>
        <w:t xml:space="preserve">are</w:t>
      </w:r>
      <w:r>
        <w:t xml:space="preserve"> </w:t>
      </w:r>
      <w:r>
        <w:t xml:space="preserve">relatively</w:t>
      </w:r>
      <w:r>
        <w:t xml:space="preserve"> </w:t>
      </w:r>
      <w:r>
        <w:t xml:space="preserve">rare,</w:t>
      </w:r>
      <w:r>
        <w:t xml:space="preserve"> </w:t>
      </w:r>
      <w:r>
        <w:t xml:space="preserve">non-functioning</w:t>
      </w:r>
      <w:r>
        <w:t xml:space="preserve"> </w:t>
      </w:r>
      <w:r>
        <w:t xml:space="preserve">intrinsic</w:t>
      </w:r>
      <w:r>
        <w:t xml:space="preserve"> </w:t>
      </w:r>
      <w:r>
        <w:t xml:space="preserve">pituitary</w:t>
      </w:r>
      <w:r>
        <w:t xml:space="preserve"> </w:t>
      </w:r>
      <w:r>
        <w:t xml:space="preserve">tumors</w:t>
      </w:r>
      <w:r>
        <w:t xml:space="preserve"> </w:t>
      </w:r>
      <w:r>
        <w:t xml:space="preserve">arising</w:t>
      </w:r>
      <w:r>
        <w:t xml:space="preserve"> </w:t>
      </w:r>
      <w:r>
        <w:t xml:space="preserve">in</w:t>
      </w:r>
      <w:r>
        <w:t xml:space="preserve"> </w:t>
      </w:r>
      <w:r>
        <w:t xml:space="preserve">the</w:t>
      </w:r>
      <w:r>
        <w:t xml:space="preserve"> </w:t>
      </w:r>
      <w:r>
        <w:t xml:space="preserve">sellar</w:t>
      </w:r>
      <w:r>
        <w:t xml:space="preserve"> </w:t>
      </w:r>
      <w:r>
        <w:t xml:space="preserve">and</w:t>
      </w:r>
      <w:r>
        <w:t xml:space="preserve"> </w:t>
      </w:r>
      <w:r>
        <w:t xml:space="preserve">suprasellar</w:t>
      </w:r>
      <w:r>
        <w:t xml:space="preserve"> </w:t>
      </w:r>
      <w:r>
        <w:t xml:space="preserve">regions,</w:t>
      </w:r>
      <w:r>
        <w:t xml:space="preserve"> </w:t>
      </w:r>
      <w:r>
        <w:t xml:space="preserve">all</w:t>
      </w:r>
      <w:r>
        <w:t xml:space="preserve"> </w:t>
      </w:r>
      <w:r>
        <w:t xml:space="preserve">recently</w:t>
      </w:r>
      <w:r>
        <w:t xml:space="preserve"> </w:t>
      </w:r>
      <w:r>
        <w:t xml:space="preserve">recognized</w:t>
      </w:r>
      <w:r>
        <w:t xml:space="preserve"> </w:t>
      </w:r>
      <w:r>
        <w:t xml:space="preserve">to</w:t>
      </w:r>
      <w:r>
        <w:t xml:space="preserve"> </w:t>
      </w:r>
      <w:r>
        <w:t xml:space="preserve">share</w:t>
      </w:r>
      <w:r>
        <w:t xml:space="preserve"> </w:t>
      </w:r>
      <w:r>
        <w:t xml:space="preserve">positive</w:t>
      </w:r>
      <w:r>
        <w:t xml:space="preserve"> </w:t>
      </w:r>
      <w:r>
        <w:t xml:space="preserve">staining</w:t>
      </w:r>
      <w:r>
        <w:t xml:space="preserve"> </w:t>
      </w:r>
      <w:r>
        <w:t xml:space="preserve">of</w:t>
      </w:r>
      <w:r>
        <w:t xml:space="preserve"> </w:t>
      </w:r>
      <w:r>
        <w:t xml:space="preserve">thyroid</w:t>
      </w:r>
      <w:r>
        <w:t xml:space="preserve"> </w:t>
      </w:r>
      <w:r>
        <w:t xml:space="preserve">transcription</w:t>
      </w:r>
      <w:r>
        <w:t xml:space="preserve"> </w:t>
      </w:r>
      <w:r>
        <w:t xml:space="preserve">factor-1</w:t>
      </w:r>
      <w:r>
        <w:t xml:space="preserve"> </w:t>
      </w:r>
      <w:r>
        <w:t xml:space="preserve">(TTF-1).</w:t>
      </w:r>
      <w:r>
        <w:t xml:space="preserve"> </w:t>
      </w:r>
      <w:r>
        <w:t xml:space="preserve">There</w:t>
      </w:r>
      <w:r>
        <w:t xml:space="preserve"> </w:t>
      </w:r>
      <w:r>
        <w:t xml:space="preserve">are</w:t>
      </w:r>
      <w:r>
        <w:t xml:space="preserve"> </w:t>
      </w:r>
      <w:r>
        <w:t xml:space="preserve">limited</w:t>
      </w:r>
      <w:r>
        <w:t xml:space="preserve"> </w:t>
      </w:r>
      <w:r>
        <w:t xml:space="preserve">reports</w:t>
      </w:r>
      <w:r>
        <w:t xml:space="preserve"> </w:t>
      </w:r>
      <w:r>
        <w:t xml:space="preserve">of</w:t>
      </w:r>
      <w:r>
        <w:t xml:space="preserve"> </w:t>
      </w:r>
      <w:r>
        <w:t xml:space="preserve">these</w:t>
      </w:r>
      <w:r>
        <w:t xml:space="preserve"> </w:t>
      </w:r>
      <w:r>
        <w:t xml:space="preserve">tumors</w:t>
      </w:r>
      <w:r>
        <w:t xml:space="preserve"> </w:t>
      </w:r>
      <w:r>
        <w:t xml:space="preserve">to</w:t>
      </w:r>
      <w:r>
        <w:t xml:space="preserve"> </w:t>
      </w:r>
      <w:r>
        <w:t xml:space="preserve">date,</w:t>
      </w:r>
      <w:r>
        <w:t xml:space="preserve"> </w:t>
      </w:r>
      <w:r>
        <w:t xml:space="preserve">and</w:t>
      </w:r>
      <w:r>
        <w:t xml:space="preserve"> </w:t>
      </w:r>
      <w:r>
        <w:t xml:space="preserve">no</w:t>
      </w:r>
      <w:r>
        <w:t xml:space="preserve"> </w:t>
      </w:r>
      <w:r>
        <w:t xml:space="preserve">single</w:t>
      </w:r>
      <w:r>
        <w:t xml:space="preserve"> </w:t>
      </w:r>
      <w:r>
        <w:t xml:space="preserve">institutional</w:t>
      </w:r>
      <w:r>
        <w:t xml:space="preserve"> </w:t>
      </w:r>
      <w:r>
        <w:t xml:space="preserve">report</w:t>
      </w:r>
      <w:r>
        <w:t xml:space="preserve"> </w:t>
      </w:r>
      <w:r>
        <w:t xml:space="preserve">with</w:t>
      </w:r>
      <w:r>
        <w:t xml:space="preserve"> </w:t>
      </w:r>
      <w:r>
        <w:t xml:space="preserve">long-term</w:t>
      </w:r>
      <w:r>
        <w:t xml:space="preserve"> </w:t>
      </w:r>
      <w:r>
        <w:t xml:space="preserve">follow</w:t>
      </w:r>
      <w:r>
        <w:t xml:space="preserve"> </w:t>
      </w:r>
      <w:r>
        <w:t xml:space="preserve">up</w:t>
      </w:r>
      <w:r>
        <w:t xml:space="preserve"> </w:t>
      </w:r>
      <w:r>
        <w:t xml:space="preserve">of</w:t>
      </w:r>
      <w:r>
        <w:t xml:space="preserve"> </w:t>
      </w:r>
      <w:r>
        <w:t xml:space="preserve">all</w:t>
      </w:r>
      <w:r>
        <w:t xml:space="preserve"> </w:t>
      </w:r>
      <w:r>
        <w:t xml:space="preserve">three</w:t>
      </w:r>
      <w:r>
        <w:t xml:space="preserve"> </w:t>
      </w:r>
      <w:r>
        <w:t xml:space="preserve">tumor</w:t>
      </w:r>
      <w:r>
        <w:t xml:space="preserve"> </w:t>
      </w:r>
      <w:r>
        <w:t xml:space="preserve">types.</w:t>
      </w:r>
    </w:p>
    <w:p>
      <w:pPr>
        <w:pStyle w:val="Abstract"/>
      </w:pPr>
      <w:r>
        <w:rPr>
          <w:b/>
        </w:rPr>
        <w:t xml:space="preserve">Methods</w:t>
      </w:r>
    </w:p>
    <w:p>
      <w:pPr>
        <w:pStyle w:val="Abstract"/>
      </w:pPr>
      <w:r>
        <w:t xml:space="preserve">Our</w:t>
      </w:r>
      <w:r>
        <w:t xml:space="preserve"> </w:t>
      </w:r>
      <w:r>
        <w:t xml:space="preserve">institutional</w:t>
      </w:r>
      <w:r>
        <w:t xml:space="preserve"> </w:t>
      </w:r>
      <w:r>
        <w:t xml:space="preserve">pathology</w:t>
      </w:r>
      <w:r>
        <w:t xml:space="preserve"> </w:t>
      </w:r>
      <w:r>
        <w:t xml:space="preserve">database</w:t>
      </w:r>
      <w:r>
        <w:t xml:space="preserve"> </w:t>
      </w:r>
      <w:r>
        <w:t xml:space="preserve">was</w:t>
      </w:r>
      <w:r>
        <w:t xml:space="preserve"> </w:t>
      </w:r>
      <w:r>
        <w:t xml:space="preserve">queried</w:t>
      </w:r>
      <w:r>
        <w:t xml:space="preserve"> </w:t>
      </w:r>
      <w:r>
        <w:t xml:space="preserve">for</w:t>
      </w:r>
      <w:r>
        <w:t xml:space="preserve"> </w:t>
      </w:r>
      <w:r>
        <w:t xml:space="preserve">the</w:t>
      </w:r>
      <w:r>
        <w:t xml:space="preserve"> </w:t>
      </w:r>
      <w:r>
        <w:t xml:space="preserve">above</w:t>
      </w:r>
      <w:r>
        <w:t xml:space="preserve"> </w:t>
      </w:r>
      <w:r>
        <w:t xml:space="preserve">pathologic</w:t>
      </w:r>
      <w:r>
        <w:t xml:space="preserve"> </w:t>
      </w:r>
      <w:r>
        <w:t xml:space="preserve">diagnoses.</w:t>
      </w:r>
      <w:r>
        <w:t xml:space="preserve"> </w:t>
      </w:r>
      <w:r>
        <w:t xml:space="preserve">Of</w:t>
      </w:r>
      <w:r>
        <w:t xml:space="preserve"> </w:t>
      </w:r>
      <w:r>
        <w:t xml:space="preserve">16</w:t>
      </w:r>
      <w:r>
        <w:t xml:space="preserve"> </w:t>
      </w:r>
      <w:r>
        <w:t xml:space="preserve">query</w:t>
      </w:r>
      <w:r>
        <w:t xml:space="preserve"> </w:t>
      </w:r>
      <w:r>
        <w:t xml:space="preserve">results,</w:t>
      </w:r>
      <w:r>
        <w:t xml:space="preserve"> </w:t>
      </w:r>
      <w:r>
        <w:t xml:space="preserve">11</w:t>
      </w:r>
      <w:r>
        <w:t xml:space="preserve"> </w:t>
      </w:r>
      <w:r>
        <w:t xml:space="preserve">patients</w:t>
      </w:r>
      <w:r>
        <w:t xml:space="preserve"> </w:t>
      </w:r>
      <w:r>
        <w:t xml:space="preserve">consisting</w:t>
      </w:r>
      <w:r>
        <w:t xml:space="preserve"> </w:t>
      </w:r>
      <w:r>
        <w:t xml:space="preserve">of</w:t>
      </w:r>
      <w:r>
        <w:t xml:space="preserve"> </w:t>
      </w:r>
      <w:r>
        <w:t xml:space="preserve">4</w:t>
      </w:r>
      <w:r>
        <w:t xml:space="preserve"> </w:t>
      </w:r>
      <w:r>
        <w:t xml:space="preserve">GCT,</w:t>
      </w:r>
      <w:r>
        <w:t xml:space="preserve"> </w:t>
      </w:r>
      <w:r>
        <w:t xml:space="preserve">4</w:t>
      </w:r>
      <w:r>
        <w:t xml:space="preserve"> </w:t>
      </w:r>
      <w:r>
        <w:t xml:space="preserve">PCT,</w:t>
      </w:r>
      <w:r>
        <w:t xml:space="preserve"> </w:t>
      </w:r>
      <w:r>
        <w:t xml:space="preserve">and</w:t>
      </w:r>
      <w:r>
        <w:t xml:space="preserve"> </w:t>
      </w:r>
      <w:r>
        <w:t xml:space="preserve">3</w:t>
      </w:r>
      <w:r>
        <w:t xml:space="preserve"> </w:t>
      </w:r>
      <w:r>
        <w:t xml:space="preserve">SCO</w:t>
      </w:r>
      <w:r>
        <w:t xml:space="preserve"> </w:t>
      </w:r>
      <w:r>
        <w:t xml:space="preserve">had</w:t>
      </w:r>
      <w:r>
        <w:t xml:space="preserve"> </w:t>
      </w:r>
      <w:r>
        <w:t xml:space="preserve">complete</w:t>
      </w:r>
      <w:r>
        <w:t xml:space="preserve"> </w:t>
      </w:r>
      <w:r>
        <w:t xml:space="preserve">clinical</w:t>
      </w:r>
      <w:r>
        <w:t xml:space="preserve"> </w:t>
      </w:r>
      <w:r>
        <w:t xml:space="preserve">records</w:t>
      </w:r>
      <w:r>
        <w:t xml:space="preserve"> </w:t>
      </w:r>
      <w:r>
        <w:t xml:space="preserve">for</w:t>
      </w:r>
      <w:r>
        <w:t xml:space="preserve"> </w:t>
      </w:r>
      <w:r>
        <w:t xml:space="preserve">retrospective</w:t>
      </w:r>
      <w:r>
        <w:t xml:space="preserve"> </w:t>
      </w:r>
      <w:r>
        <w:t xml:space="preserve">case</w:t>
      </w:r>
      <w:r>
        <w:t xml:space="preserve"> </w:t>
      </w:r>
      <w:r>
        <w:t xml:space="preserve">series</w:t>
      </w:r>
      <w:r>
        <w:t xml:space="preserve"> </w:t>
      </w:r>
      <w:r>
        <w:t xml:space="preserve">review.</w:t>
      </w:r>
      <w:r>
        <w:t xml:space="preserve"> </w:t>
      </w:r>
      <w:r>
        <w:t xml:space="preserve">Clinical</w:t>
      </w:r>
      <w:r>
        <w:t xml:space="preserve"> </w:t>
      </w:r>
      <w:r>
        <w:t xml:space="preserve">records</w:t>
      </w:r>
      <w:r>
        <w:t xml:space="preserve"> </w:t>
      </w:r>
      <w:r>
        <w:t xml:space="preserve">were</w:t>
      </w:r>
      <w:r>
        <w:t xml:space="preserve"> </w:t>
      </w:r>
      <w:r>
        <w:t xml:space="preserve">assessed</w:t>
      </w:r>
      <w:r>
        <w:t xml:space="preserve"> </w:t>
      </w:r>
      <w:r>
        <w:t xml:space="preserve">for</w:t>
      </w:r>
      <w:r>
        <w:t xml:space="preserve"> </w:t>
      </w:r>
      <w:r>
        <w:t xml:space="preserve">clinical</w:t>
      </w:r>
      <w:r>
        <w:t xml:space="preserve"> </w:t>
      </w:r>
      <w:r>
        <w:t xml:space="preserve">presentation,</w:t>
      </w:r>
      <w:r>
        <w:t xml:space="preserve"> </w:t>
      </w:r>
      <w:r>
        <w:t xml:space="preserve">pre-</w:t>
      </w:r>
      <w:r>
        <w:t xml:space="preserve"> </w:t>
      </w:r>
      <w:r>
        <w:t xml:space="preserve">and</w:t>
      </w:r>
      <w:r>
        <w:t xml:space="preserve"> </w:t>
      </w:r>
      <w:r>
        <w:t xml:space="preserve">post-operative</w:t>
      </w:r>
      <w:r>
        <w:t xml:space="preserve"> </w:t>
      </w:r>
      <w:r>
        <w:t xml:space="preserve">endocrine</w:t>
      </w:r>
      <w:r>
        <w:t xml:space="preserve"> </w:t>
      </w:r>
      <w:r>
        <w:t xml:space="preserve">status,</w:t>
      </w:r>
      <w:r>
        <w:t xml:space="preserve"> </w:t>
      </w:r>
      <w:r>
        <w:t xml:space="preserve">location</w:t>
      </w:r>
      <w:r>
        <w:t xml:space="preserve"> </w:t>
      </w:r>
      <w:r>
        <w:t xml:space="preserve">on</w:t>
      </w:r>
      <w:r>
        <w:t xml:space="preserve"> </w:t>
      </w:r>
      <w:r>
        <w:t xml:space="preserve">imaging,</w:t>
      </w:r>
      <w:r>
        <w:t xml:space="preserve"> </w:t>
      </w:r>
      <w:r>
        <w:t xml:space="preserve">surgical</w:t>
      </w:r>
      <w:r>
        <w:t xml:space="preserve"> </w:t>
      </w:r>
      <w:r>
        <w:t xml:space="preserve">characteristics,</w:t>
      </w:r>
      <w:r>
        <w:t xml:space="preserve"> </w:t>
      </w:r>
      <w:r>
        <w:t xml:space="preserve">pathology</w:t>
      </w:r>
      <w:r>
        <w:t xml:space="preserve"> </w:t>
      </w:r>
      <w:r>
        <w:t xml:space="preserve">results,</w:t>
      </w:r>
      <w:r>
        <w:t xml:space="preserve"> </w:t>
      </w:r>
      <w:r>
        <w:t xml:space="preserve">and</w:t>
      </w:r>
      <w:r>
        <w:t xml:space="preserve"> </w:t>
      </w:r>
      <w:r>
        <w:t xml:space="preserve">tumor</w:t>
      </w:r>
      <w:r>
        <w:t xml:space="preserve"> </w:t>
      </w:r>
      <w:r>
        <w:t xml:space="preserve">recurrence.</w:t>
      </w:r>
    </w:p>
    <w:p>
      <w:pPr>
        <w:pStyle w:val="Abstract"/>
      </w:pPr>
      <w:r>
        <w:rPr>
          <w:b/>
        </w:rPr>
        <w:t xml:space="preserve">Results</w:t>
      </w:r>
    </w:p>
    <w:p>
      <w:pPr>
        <w:pStyle w:val="Abstract"/>
      </w:pPr>
      <w:r>
        <w:t xml:space="preserve">Although</w:t>
      </w:r>
      <w:r>
        <w:t xml:space="preserve"> </w:t>
      </w:r>
      <w:r>
        <w:t xml:space="preserve">commonly</w:t>
      </w:r>
      <w:r>
        <w:t xml:space="preserve"> </w:t>
      </w:r>
      <w:r>
        <w:t xml:space="preserve">reported</w:t>
      </w:r>
      <w:r>
        <w:t xml:space="preserve"> </w:t>
      </w:r>
      <w:r>
        <w:t xml:space="preserve">to</w:t>
      </w:r>
      <w:r>
        <w:t xml:space="preserve"> </w:t>
      </w:r>
      <w:r>
        <w:t xml:space="preserve">be</w:t>
      </w:r>
      <w:r>
        <w:t xml:space="preserve"> </w:t>
      </w:r>
      <w:r>
        <w:t xml:space="preserve">predominantly</w:t>
      </w:r>
      <w:r>
        <w:t xml:space="preserve"> </w:t>
      </w:r>
      <w:r>
        <w:t xml:space="preserve">female,</w:t>
      </w:r>
      <w:r>
        <w:t xml:space="preserve"> </w:t>
      </w:r>
      <w:r>
        <w:t xml:space="preserve">we</w:t>
      </w:r>
      <w:r>
        <w:t xml:space="preserve"> </w:t>
      </w:r>
      <w:r>
        <w:t xml:space="preserve">found</w:t>
      </w:r>
      <w:r>
        <w:t xml:space="preserve"> </w:t>
      </w:r>
      <w:r>
        <w:t xml:space="preserve">no</w:t>
      </w:r>
      <w:r>
        <w:t xml:space="preserve"> </w:t>
      </w:r>
      <w:r>
        <w:t xml:space="preserve">statistical</w:t>
      </w:r>
      <w:r>
        <w:t xml:space="preserve"> </w:t>
      </w:r>
      <w:r>
        <w:t xml:space="preserve">difference</w:t>
      </w:r>
      <w:r>
        <w:t xml:space="preserve"> </w:t>
      </w:r>
      <w:r>
        <w:t xml:space="preserve">in</w:t>
      </w:r>
      <w:r>
        <w:t xml:space="preserve"> </w:t>
      </w:r>
      <w:r>
        <w:t xml:space="preserve">sex.</w:t>
      </w:r>
      <w:r>
        <w:t xml:space="preserve"> </w:t>
      </w:r>
      <w:r>
        <w:t xml:space="preserve">Presentations</w:t>
      </w:r>
      <w:r>
        <w:t xml:space="preserve"> </w:t>
      </w:r>
      <w:r>
        <w:t xml:space="preserve">were</w:t>
      </w:r>
      <w:r>
        <w:t xml:space="preserve"> </w:t>
      </w:r>
      <w:r>
        <w:t xml:space="preserve">commonly</w:t>
      </w:r>
      <w:r>
        <w:t xml:space="preserve"> </w:t>
      </w:r>
      <w:r>
        <w:t xml:space="preserve">headache</w:t>
      </w:r>
      <w:r>
        <w:t xml:space="preserve"> </w:t>
      </w:r>
      <w:r>
        <w:t xml:space="preserve">(55%), </w:t>
      </w:r>
      <w:r>
        <w:t xml:space="preserve"> </w:t>
      </w:r>
      <w:r>
        <w:t xml:space="preserve">fatigue</w:t>
      </w:r>
      <w:r>
        <w:t xml:space="preserve"> </w:t>
      </w:r>
      <w:r>
        <w:t xml:space="preserve">(46%),</w:t>
      </w:r>
      <w:r>
        <w:t xml:space="preserve"> </w:t>
      </w:r>
      <w:r>
        <w:t xml:space="preserve">vision</w:t>
      </w:r>
      <w:r>
        <w:t xml:space="preserve"> </w:t>
      </w:r>
      <w:r>
        <w:t xml:space="preserve">changes</w:t>
      </w:r>
      <w:r>
        <w:t xml:space="preserve"> </w:t>
      </w:r>
      <w:r>
        <w:t xml:space="preserve">(64%),</w:t>
      </w:r>
      <w:r>
        <w:t xml:space="preserve"> </w:t>
      </w:r>
      <w:r>
        <w:t xml:space="preserve">and</w:t>
      </w:r>
      <w:r>
        <w:t xml:space="preserve"> </w:t>
      </w:r>
      <w:r>
        <w:t xml:space="preserve">endocrine</w:t>
      </w:r>
      <w:r>
        <w:t xml:space="preserve"> </w:t>
      </w:r>
      <w:r>
        <w:t xml:space="preserve">abnormalities</w:t>
      </w:r>
      <w:r>
        <w:t xml:space="preserve"> </w:t>
      </w:r>
      <w:r>
        <w:t xml:space="preserve">(55%).</w:t>
      </w:r>
      <w:r>
        <w:t xml:space="preserve"> </w:t>
      </w:r>
      <w:r>
        <w:t xml:space="preserve">Granular</w:t>
      </w:r>
      <w:r>
        <w:t xml:space="preserve"> </w:t>
      </w:r>
      <w:r>
        <w:t xml:space="preserve">cell</w:t>
      </w:r>
      <w:r>
        <w:t xml:space="preserve"> </w:t>
      </w:r>
      <w:r>
        <w:t xml:space="preserve">tumors</w:t>
      </w:r>
      <w:r>
        <w:t xml:space="preserve"> </w:t>
      </w:r>
      <w:r>
        <w:t xml:space="preserve">were</w:t>
      </w:r>
      <w:r>
        <w:t xml:space="preserve"> </w:t>
      </w:r>
      <w:r>
        <w:t xml:space="preserve">the</w:t>
      </w:r>
      <w:r>
        <w:t xml:space="preserve"> </w:t>
      </w:r>
      <w:r>
        <w:t xml:space="preserve">only</w:t>
      </w:r>
      <w:r>
        <w:t xml:space="preserve"> </w:t>
      </w:r>
      <w:r>
        <w:t xml:space="preserve">subtype</w:t>
      </w:r>
      <w:r>
        <w:t xml:space="preserve"> </w:t>
      </w:r>
      <w:r>
        <w:t xml:space="preserve">to</w:t>
      </w:r>
      <w:r>
        <w:t xml:space="preserve"> </w:t>
      </w:r>
      <w:r>
        <w:t xml:space="preserve">present</w:t>
      </w:r>
      <w:r>
        <w:t xml:space="preserve"> </w:t>
      </w:r>
      <w:r>
        <w:t xml:space="preserve">exclusively</w:t>
      </w:r>
      <w:r>
        <w:t xml:space="preserve"> </w:t>
      </w:r>
      <w:r>
        <w:t xml:space="preserve">in</w:t>
      </w:r>
      <w:r>
        <w:t xml:space="preserve"> </w:t>
      </w:r>
      <w:r>
        <w:t xml:space="preserve">the</w:t>
      </w:r>
      <w:r>
        <w:t xml:space="preserve"> </w:t>
      </w:r>
      <w:r>
        <w:t xml:space="preserve">infundibulum,</w:t>
      </w:r>
      <w:r>
        <w:t xml:space="preserve"> </w:t>
      </w:r>
      <w:r>
        <w:t xml:space="preserve">as</w:t>
      </w:r>
      <w:r>
        <w:t xml:space="preserve"> </w:t>
      </w:r>
      <w:r>
        <w:t xml:space="preserve">well</w:t>
      </w:r>
      <w:r>
        <w:t xml:space="preserve"> </w:t>
      </w:r>
      <w:r>
        <w:t xml:space="preserve">as</w:t>
      </w:r>
      <w:r>
        <w:t xml:space="preserve"> </w:t>
      </w:r>
      <w:r>
        <w:t xml:space="preserve">undergo</w:t>
      </w:r>
      <w:r>
        <w:t xml:space="preserve"> </w:t>
      </w:r>
      <w:r>
        <w:t xml:space="preserve">a</w:t>
      </w:r>
      <w:r>
        <w:t xml:space="preserve"> </w:t>
      </w:r>
      <w:r>
        <w:t xml:space="preserve">Sylvian</w:t>
      </w:r>
      <w:r>
        <w:t xml:space="preserve"> </w:t>
      </w:r>
      <w:r>
        <w:t xml:space="preserve">approach</w:t>
      </w:r>
      <w:r>
        <w:t xml:space="preserve"> </w:t>
      </w:r>
      <w:r>
        <w:t xml:space="preserve">to</w:t>
      </w:r>
      <w:r>
        <w:t xml:space="preserve"> </w:t>
      </w:r>
      <w:r>
        <w:t xml:space="preserve">resection</w:t>
      </w:r>
      <w:r>
        <w:t xml:space="preserve"> </w:t>
      </w:r>
      <w:r>
        <w:t xml:space="preserve">(n</w:t>
      </w:r>
      <w:r>
        <w:t xml:space="preserve"> </w:t>
      </w:r>
      <w:r>
        <w:t xml:space="preserve">=</w:t>
      </w:r>
      <w:r>
        <w:t xml:space="preserve"> </w:t>
      </w:r>
      <w:r>
        <w:t xml:space="preserve">2)</w:t>
      </w:r>
      <w:r>
        <w:t xml:space="preserve"> </w:t>
      </w:r>
      <w:r>
        <w:t xml:space="preserve">in</w:t>
      </w:r>
      <w:r>
        <w:t xml:space="preserve"> </w:t>
      </w:r>
      <w:r>
        <w:t xml:space="preserve">our</w:t>
      </w:r>
      <w:r>
        <w:t xml:space="preserve"> </w:t>
      </w:r>
      <w:r>
        <w:t xml:space="preserve">series.</w:t>
      </w:r>
      <w:r>
        <w:t xml:space="preserve"> </w:t>
      </w:r>
      <w:r>
        <w:t xml:space="preserve">There</w:t>
      </w:r>
      <w:r>
        <w:t xml:space="preserve"> </w:t>
      </w:r>
      <w:r>
        <w:t xml:space="preserve">was</w:t>
      </w:r>
      <w:r>
        <w:t xml:space="preserve"> </w:t>
      </w:r>
      <w:r>
        <w:t xml:space="preserve">no</w:t>
      </w:r>
      <w:r>
        <w:t xml:space="preserve"> </w:t>
      </w:r>
      <w:r>
        <w:t xml:space="preserve">significant</w:t>
      </w:r>
      <w:r>
        <w:t xml:space="preserve"> </w:t>
      </w:r>
      <w:r>
        <w:t xml:space="preserve">difference</w:t>
      </w:r>
      <w:r>
        <w:t xml:space="preserve"> </w:t>
      </w:r>
      <w:r>
        <w:t xml:space="preserve">between</w:t>
      </w:r>
      <w:r>
        <w:t xml:space="preserve"> </w:t>
      </w:r>
      <w:r>
        <w:t xml:space="preserve">tumor</w:t>
      </w:r>
      <w:r>
        <w:t xml:space="preserve"> </w:t>
      </w:r>
      <w:r>
        <w:t xml:space="preserve">types</w:t>
      </w:r>
      <w:r>
        <w:t xml:space="preserve"> </w:t>
      </w:r>
      <w:r>
        <w:t xml:space="preserve">or</w:t>
      </w:r>
      <w:r>
        <w:t xml:space="preserve"> </w:t>
      </w:r>
      <w:r>
        <w:t xml:space="preserve">surgical</w:t>
      </w:r>
      <w:r>
        <w:t xml:space="preserve"> </w:t>
      </w:r>
      <w:r>
        <w:t xml:space="preserve">approach</w:t>
      </w:r>
      <w:r>
        <w:t xml:space="preserve"> </w:t>
      </w:r>
      <w:r>
        <w:t xml:space="preserve">in</w:t>
      </w:r>
      <w:r>
        <w:t xml:space="preserve"> </w:t>
      </w:r>
      <w:r>
        <w:t xml:space="preserve">terms</w:t>
      </w:r>
      <w:r>
        <w:t xml:space="preserve"> </w:t>
      </w:r>
      <w:r>
        <w:t xml:space="preserve">of</w:t>
      </w:r>
      <w:r>
        <w:t xml:space="preserve"> </w:t>
      </w:r>
      <w:r>
        <w:t xml:space="preserve">post-operative</w:t>
      </w:r>
      <w:r>
        <w:t xml:space="preserve"> </w:t>
      </w:r>
      <w:r>
        <w:t xml:space="preserve">vision</w:t>
      </w:r>
      <w:r>
        <w:t xml:space="preserve"> </w:t>
      </w:r>
      <w:r>
        <w:t xml:space="preserve">changes;</w:t>
      </w:r>
      <w:r>
        <w:t xml:space="preserve"> </w:t>
      </w:r>
      <w:r>
        <w:t xml:space="preserve">SCOs</w:t>
      </w:r>
      <w:r>
        <w:t xml:space="preserve"> </w:t>
      </w:r>
      <w:r>
        <w:t xml:space="preserve">were</w:t>
      </w:r>
      <w:r>
        <w:t xml:space="preserve"> </w:t>
      </w:r>
      <w:r>
        <w:t xml:space="preserve">more</w:t>
      </w:r>
      <w:r>
        <w:t xml:space="preserve"> </w:t>
      </w:r>
      <w:r>
        <w:t xml:space="preserve">likely</w:t>
      </w:r>
      <w:r>
        <w:t xml:space="preserve"> </w:t>
      </w:r>
      <w:r>
        <w:t xml:space="preserve">to</w:t>
      </w:r>
      <w:r>
        <w:t xml:space="preserve"> </w:t>
      </w:r>
      <w:r>
        <w:t xml:space="preserve">have</w:t>
      </w:r>
      <w:r>
        <w:t xml:space="preserve"> </w:t>
      </w:r>
      <w:r>
        <w:t xml:space="preserve">pre-operative</w:t>
      </w:r>
      <w:r>
        <w:t xml:space="preserve"> </w:t>
      </w:r>
      <w:r>
        <w:t xml:space="preserve">endocrine</w:t>
      </w:r>
      <w:r>
        <w:t xml:space="preserve"> </w:t>
      </w:r>
      <w:r>
        <w:t xml:space="preserve">complications,</w:t>
      </w:r>
      <w:r>
        <w:t xml:space="preserve"> </w:t>
      </w:r>
      <w:r>
        <w:t xml:space="preserve">but</w:t>
      </w:r>
      <w:r>
        <w:t xml:space="preserve"> </w:t>
      </w:r>
      <w:r>
        <w:t xml:space="preserve">less</w:t>
      </w:r>
      <w:r>
        <w:t xml:space="preserve"> </w:t>
      </w:r>
      <w:r>
        <w:t xml:space="preserve">likely</w:t>
      </w:r>
      <w:r>
        <w:t xml:space="preserve"> </w:t>
      </w:r>
      <w:r>
        <w:t xml:space="preserve">to</w:t>
      </w:r>
      <w:r>
        <w:t xml:space="preserve"> </w:t>
      </w:r>
      <w:r>
        <w:t xml:space="preserve">have</w:t>
      </w:r>
      <w:r>
        <w:t xml:space="preserve"> </w:t>
      </w:r>
      <w:r>
        <w:t xml:space="preserve">post-operative</w:t>
      </w:r>
      <w:r>
        <w:t xml:space="preserve"> </w:t>
      </w:r>
      <w:r>
        <w:t xml:space="preserve">worsening</w:t>
      </w:r>
      <w:r>
        <w:t xml:space="preserve"> </w:t>
      </w:r>
      <w:r>
        <w:t xml:space="preserve">of</w:t>
      </w:r>
      <w:r>
        <w:t xml:space="preserve"> </w:t>
      </w:r>
      <w:r>
        <w:t xml:space="preserve">endocrine</w:t>
      </w:r>
      <w:r>
        <w:t xml:space="preserve"> </w:t>
      </w:r>
      <w:r>
        <w:t xml:space="preserve">status</w:t>
      </w:r>
      <w:r>
        <w:t xml:space="preserve"> </w:t>
      </w:r>
      <w:r>
        <w:t xml:space="preserve">(p</w:t>
      </w:r>
      <w:r>
        <w:t xml:space="preserve"> </w:t>
      </w:r>
      <w:r>
        <w:t xml:space="preserve">=</w:t>
      </w:r>
      <w:r>
        <w:t xml:space="preserve"> </w:t>
      </w:r>
      <w:r>
        <w:t xml:space="preserve">0.056).</w:t>
      </w:r>
      <w:r>
        <w:t xml:space="preserve"> </w:t>
      </w:r>
      <w:r>
        <w:t xml:space="preserve">Contrary</w:t>
      </w:r>
      <w:r>
        <w:t xml:space="preserve"> </w:t>
      </w:r>
      <w:r>
        <w:t xml:space="preserve">to</w:t>
      </w:r>
      <w:r>
        <w:t xml:space="preserve"> </w:t>
      </w:r>
      <w:r>
        <w:t xml:space="preserve">what</w:t>
      </w:r>
      <w:r>
        <w:t xml:space="preserve"> </w:t>
      </w:r>
      <w:r>
        <w:t xml:space="preserve">is</w:t>
      </w:r>
      <w:r>
        <w:t xml:space="preserve"> </w:t>
      </w:r>
      <w:r>
        <w:t xml:space="preserve">commonly</w:t>
      </w:r>
      <w:r>
        <w:t xml:space="preserve"> </w:t>
      </w:r>
      <w:r>
        <w:t xml:space="preserve">reported,</w:t>
      </w:r>
      <w:r>
        <w:t xml:space="preserve"> </w:t>
      </w:r>
      <w:r>
        <w:t xml:space="preserve">none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tumors</w:t>
      </w:r>
      <w:r>
        <w:t xml:space="preserve"> </w:t>
      </w:r>
      <w:r>
        <w:t xml:space="preserve">were</w:t>
      </w:r>
      <w:r>
        <w:t xml:space="preserve"> </w:t>
      </w:r>
      <w:r>
        <w:t xml:space="preserve">found</w:t>
      </w:r>
      <w:r>
        <w:t xml:space="preserve"> </w:t>
      </w:r>
      <w:r>
        <w:t xml:space="preserve">to</w:t>
      </w:r>
      <w:r>
        <w:t xml:space="preserve"> </w:t>
      </w:r>
      <w:r>
        <w:t xml:space="preserve">bleed</w:t>
      </w:r>
      <w:r>
        <w:t xml:space="preserve"> </w:t>
      </w:r>
      <w:r>
        <w:t xml:space="preserve">excessively</w:t>
      </w:r>
      <w:r>
        <w:t xml:space="preserve"> </w:t>
      </w:r>
      <w:r>
        <w:t xml:space="preserve">intraoperatively.</w:t>
      </w:r>
      <w:r>
        <w:t xml:space="preserve"> </w:t>
      </w:r>
      <w:r>
        <w:t xml:space="preserve">All</w:t>
      </w:r>
      <w:r>
        <w:t xml:space="preserve"> </w:t>
      </w:r>
      <w:r>
        <w:t xml:space="preserve">tumors</w:t>
      </w:r>
      <w:r>
        <w:t xml:space="preserve"> </w:t>
      </w:r>
      <w:r>
        <w:t xml:space="preserve">were</w:t>
      </w:r>
      <w:r>
        <w:t xml:space="preserve"> </w:t>
      </w:r>
      <w:r>
        <w:t xml:space="preserve">positive</w:t>
      </w:r>
      <w:r>
        <w:t xml:space="preserve"> </w:t>
      </w:r>
      <w:r>
        <w:t xml:space="preserve">for</w:t>
      </w:r>
      <w:r>
        <w:t xml:space="preserve"> </w:t>
      </w:r>
      <w:r>
        <w:t xml:space="preserve">TTF-1</w:t>
      </w:r>
      <w:r>
        <w:t xml:space="preserve"> </w:t>
      </w:r>
      <w:r>
        <w:t xml:space="preserve">staining.</w:t>
      </w:r>
      <w:r>
        <w:t xml:space="preserve"> </w:t>
      </w:r>
      <w:r>
        <w:t xml:space="preserve">Imaging</w:t>
      </w:r>
      <w:r>
        <w:t xml:space="preserve"> </w:t>
      </w:r>
      <w:r>
        <w:t xml:space="preserve">confirmed</w:t>
      </w:r>
      <w:r>
        <w:t xml:space="preserve"> </w:t>
      </w:r>
      <w:r>
        <w:t xml:space="preserve">gross</w:t>
      </w:r>
      <w:r>
        <w:t xml:space="preserve"> </w:t>
      </w:r>
      <w:r>
        <w:t xml:space="preserve">total</w:t>
      </w:r>
      <w:r>
        <w:t xml:space="preserve"> </w:t>
      </w:r>
      <w:r>
        <w:t xml:space="preserve">resection</w:t>
      </w:r>
      <w:r>
        <w:t xml:space="preserve"> </w:t>
      </w:r>
      <w:r>
        <w:t xml:space="preserve">in</w:t>
      </w:r>
      <w:r>
        <w:t xml:space="preserve"> </w:t>
      </w:r>
      <w:r>
        <w:t xml:space="preserve">all</w:t>
      </w:r>
      <w:r>
        <w:t xml:space="preserve"> </w:t>
      </w:r>
      <w:r>
        <w:t xml:space="preserve">11</w:t>
      </w:r>
      <w:r>
        <w:t xml:space="preserve"> </w:t>
      </w:r>
      <w:r>
        <w:t xml:space="preserve">cases</w:t>
      </w:r>
      <w:r>
        <w:t xml:space="preserve"> </w:t>
      </w:r>
      <w:r>
        <w:t xml:space="preserve">with</w:t>
      </w:r>
      <w:r>
        <w:t xml:space="preserve"> </w:t>
      </w:r>
      <w:r>
        <w:t xml:space="preserve">no</w:t>
      </w:r>
      <w:r>
        <w:t xml:space="preserve"> </w:t>
      </w:r>
      <w:r>
        <w:t xml:space="preserve">known</w:t>
      </w:r>
      <w:r>
        <w:t xml:space="preserve"> </w:t>
      </w:r>
      <w:r>
        <w:t xml:space="preserve">recurrences</w:t>
      </w:r>
      <w:r>
        <w:t xml:space="preserve"> </w:t>
      </w:r>
      <w:r>
        <w:t xml:space="preserve">at</w:t>
      </w:r>
      <w:r>
        <w:t xml:space="preserve"> </w:t>
      </w:r>
      <w:r>
        <w:t xml:space="preserve">an</w:t>
      </w:r>
      <w:r>
        <w:t xml:space="preserve"> </w:t>
      </w:r>
      <w:r>
        <w:t xml:space="preserve">average</w:t>
      </w:r>
      <w:r>
        <w:t xml:space="preserve"> </w:t>
      </w:r>
      <w:r>
        <w:t xml:space="preserve">follow</w:t>
      </w:r>
      <w:r>
        <w:t xml:space="preserve"> </w:t>
      </w:r>
      <w:r>
        <w:t xml:space="preserve">up</w:t>
      </w:r>
      <w:r>
        <w:t xml:space="preserve"> </w:t>
      </w:r>
      <w:r>
        <w:t xml:space="preserve">of</w:t>
      </w:r>
      <w:r>
        <w:t xml:space="preserve"> </w:t>
      </w:r>
      <w:r>
        <w:t xml:space="preserve">4.72</w:t>
      </w:r>
      <w:r>
        <w:t xml:space="preserve"> </w:t>
      </w:r>
      <w:r>
        <w:t xml:space="preserve">±</w:t>
      </w:r>
      <w:r>
        <w:t xml:space="preserve"> </w:t>
      </w:r>
      <w:r>
        <w:t xml:space="preserve">3.65</w:t>
      </w:r>
      <w:r>
        <w:t xml:space="preserve"> </w:t>
      </w:r>
      <w:r>
        <w:t xml:space="preserve">years.</w:t>
      </w:r>
    </w:p>
    <w:p>
      <w:pPr>
        <w:pStyle w:val="Abstract"/>
      </w:pPr>
      <w:r>
        <w:rPr>
          <w:b/>
        </w:rPr>
        <w:t xml:space="preserve">Conclusions</w:t>
      </w:r>
    </w:p>
    <w:p>
      <w:pPr>
        <w:pStyle w:val="Abstract"/>
      </w:pPr>
      <w:r>
        <w:t xml:space="preserve">We</w:t>
      </w:r>
      <w:r>
        <w:t xml:space="preserve"> </w:t>
      </w:r>
      <w:r>
        <w:t xml:space="preserve">present</w:t>
      </w:r>
      <w:r>
        <w:t xml:space="preserve"> </w:t>
      </w:r>
      <w:r>
        <w:t xml:space="preserve">our</w:t>
      </w:r>
      <w:r>
        <w:t xml:space="preserve"> </w:t>
      </w:r>
      <w:r>
        <w:t xml:space="preserve">institutional</w:t>
      </w:r>
      <w:r>
        <w:t xml:space="preserve"> </w:t>
      </w:r>
      <w:r>
        <w:t xml:space="preserve">series</w:t>
      </w:r>
      <w:r>
        <w:t xml:space="preserve"> </w:t>
      </w:r>
      <w:r>
        <w:t xml:space="preserve">of 4</w:t>
      </w:r>
      <w:r>
        <w:t xml:space="preserve"> </w:t>
      </w:r>
      <w:r>
        <w:t xml:space="preserve">GCT,</w:t>
      </w:r>
      <w:r>
        <w:t xml:space="preserve"> </w:t>
      </w:r>
      <w:r>
        <w:t xml:space="preserve">4</w:t>
      </w:r>
      <w:r>
        <w:t xml:space="preserve"> </w:t>
      </w:r>
      <w:r>
        <w:t xml:space="preserve">PCT,</w:t>
      </w:r>
      <w:r>
        <w:t xml:space="preserve"> </w:t>
      </w:r>
      <w:r>
        <w:t xml:space="preserve">and</w:t>
      </w:r>
      <w:r>
        <w:t xml:space="preserve"> </w:t>
      </w:r>
      <w:r>
        <w:t xml:space="preserve">3</w:t>
      </w:r>
      <w:r>
        <w:t xml:space="preserve"> </w:t>
      </w:r>
      <w:r>
        <w:t xml:space="preserve">SCO</w:t>
      </w:r>
      <w:r>
        <w:t xml:space="preserve"> </w:t>
      </w:r>
      <w:r>
        <w:t xml:space="preserve">tumor</w:t>
      </w:r>
      <w:r>
        <w:t xml:space="preserve"> </w:t>
      </w:r>
      <w:r>
        <w:t xml:space="preserve">patients,</w:t>
      </w:r>
      <w:r>
        <w:t xml:space="preserve"> </w:t>
      </w:r>
      <w:r>
        <w:t xml:space="preserve">the</w:t>
      </w:r>
      <w:r>
        <w:t xml:space="preserve"> </w:t>
      </w:r>
      <w:r>
        <w:t xml:space="preserve">largest</w:t>
      </w:r>
      <w:r>
        <w:t xml:space="preserve"> </w:t>
      </w:r>
      <w:r>
        <w:t xml:space="preserve">to</w:t>
      </w:r>
      <w:r>
        <w:t xml:space="preserve"> </w:t>
      </w:r>
      <w:r>
        <w:t xml:space="preserve">date</w:t>
      </w:r>
      <w:r>
        <w:t xml:space="preserve"> </w:t>
      </w:r>
      <w:r>
        <w:t xml:space="preserve">of</w:t>
      </w:r>
      <w:r>
        <w:t xml:space="preserve"> </w:t>
      </w:r>
      <w:r>
        <w:t xml:space="preserve">these</w:t>
      </w:r>
      <w:r>
        <w:t xml:space="preserve"> </w:t>
      </w:r>
      <w:r>
        <w:t xml:space="preserve">three</w:t>
      </w:r>
      <w:r>
        <w:t xml:space="preserve"> </w:t>
      </w:r>
      <w:r>
        <w:t xml:space="preserve">TTF-1</w:t>
      </w:r>
      <w:r>
        <w:t xml:space="preserve"> </w:t>
      </w:r>
      <w:r>
        <w:t xml:space="preserve">staining</w:t>
      </w:r>
      <w:r>
        <w:t xml:space="preserve"> </w:t>
      </w:r>
      <w:r>
        <w:t xml:space="preserve">tumors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sellar</w:t>
      </w:r>
      <w:r>
        <w:t xml:space="preserve"> </w:t>
      </w:r>
      <w:r>
        <w:t xml:space="preserve">region.</w:t>
      </w:r>
      <w:r>
        <w:t xml:space="preserve"> </w:t>
      </w:r>
      <w:r>
        <w:t xml:space="preserve">GCTs</w:t>
      </w:r>
      <w:r>
        <w:t xml:space="preserve"> </w:t>
      </w:r>
      <w:r>
        <w:t xml:space="preserve">were</w:t>
      </w:r>
      <w:r>
        <w:t xml:space="preserve"> </w:t>
      </w:r>
      <w:r>
        <w:t xml:space="preserve">reliably</w:t>
      </w:r>
      <w:r>
        <w:t xml:space="preserve"> </w:t>
      </w:r>
      <w:r>
        <w:t xml:space="preserve">found</w:t>
      </w:r>
      <w:r>
        <w:t xml:space="preserve"> </w:t>
      </w:r>
      <w:r>
        <w:t xml:space="preserve">to</w:t>
      </w:r>
      <w:r>
        <w:t xml:space="preserve"> </w:t>
      </w:r>
      <w:r>
        <w:t xml:space="preserve">be</w:t>
      </w:r>
      <w:r>
        <w:t xml:space="preserve"> </w:t>
      </w:r>
      <w:r>
        <w:t xml:space="preserve">exclusively</w:t>
      </w:r>
      <w:r>
        <w:t xml:space="preserve"> </w:t>
      </w:r>
      <w:r>
        <w:t xml:space="preserve">suprasellar</w:t>
      </w:r>
      <w:r>
        <w:t xml:space="preserve"> </w:t>
      </w:r>
      <w:r>
        <w:t xml:space="preserve">at</w:t>
      </w:r>
      <w:r>
        <w:t xml:space="preserve"> </w:t>
      </w:r>
      <w:r>
        <w:t xml:space="preserve">presentation.</w:t>
      </w:r>
      <w:r>
        <w:t xml:space="preserve"> </w:t>
      </w:r>
      <w:r>
        <w:t xml:space="preserve">SCOs</w:t>
      </w:r>
      <w:r>
        <w:t xml:space="preserve"> </w:t>
      </w:r>
      <w:r>
        <w:t xml:space="preserve">tended</w:t>
      </w:r>
      <w:r>
        <w:t xml:space="preserve"> </w:t>
      </w:r>
      <w:r>
        <w:t xml:space="preserve">to</w:t>
      </w:r>
      <w:r>
        <w:t xml:space="preserve"> </w:t>
      </w:r>
      <w:r>
        <w:t xml:space="preserve">present</w:t>
      </w:r>
      <w:r>
        <w:t xml:space="preserve"> </w:t>
      </w:r>
      <w:r>
        <w:t xml:space="preserve">with</w:t>
      </w:r>
      <w:r>
        <w:t xml:space="preserve"> </w:t>
      </w:r>
      <w:r>
        <w:t xml:space="preserve">more</w:t>
      </w:r>
      <w:r>
        <w:t xml:space="preserve"> </w:t>
      </w:r>
      <w:r>
        <w:t xml:space="preserve">endocrine</w:t>
      </w:r>
      <w:r>
        <w:t xml:space="preserve"> </w:t>
      </w:r>
      <w:r>
        <w:t xml:space="preserve">abnormalities,</w:t>
      </w:r>
      <w:r>
        <w:t xml:space="preserve"> </w:t>
      </w:r>
      <w:r>
        <w:t xml:space="preserve">but</w:t>
      </w:r>
      <w:r>
        <w:t xml:space="preserve"> </w:t>
      </w:r>
      <w:r>
        <w:t xml:space="preserve">less</w:t>
      </w:r>
      <w:r>
        <w:t xml:space="preserve"> </w:t>
      </w:r>
      <w:r>
        <w:t xml:space="preserve">likely</w:t>
      </w:r>
      <w:r>
        <w:t xml:space="preserve"> </w:t>
      </w:r>
      <w:r>
        <w:t xml:space="preserve">to</w:t>
      </w:r>
      <w:r>
        <w:t xml:space="preserve"> </w:t>
      </w:r>
      <w:r>
        <w:t xml:space="preserve">have</w:t>
      </w:r>
      <w:r>
        <w:t xml:space="preserve"> </w:t>
      </w:r>
      <w:r>
        <w:t xml:space="preserve">endocrine</w:t>
      </w:r>
      <w:r>
        <w:t xml:space="preserve"> </w:t>
      </w:r>
      <w:r>
        <w:t xml:space="preserve">worsening</w:t>
      </w:r>
      <w:r>
        <w:t xml:space="preserve"> </w:t>
      </w:r>
      <w:r>
        <w:t xml:space="preserve">postoperatively.</w:t>
      </w:r>
      <w:r>
        <w:t xml:space="preserve"> </w:t>
      </w:r>
      <w:r>
        <w:t xml:space="preserve">Gross</w:t>
      </w:r>
      <w:r>
        <w:t xml:space="preserve"> </w:t>
      </w:r>
      <w:r>
        <w:t xml:space="preserve">total</w:t>
      </w:r>
      <w:r>
        <w:t xml:space="preserve"> </w:t>
      </w:r>
      <w:r>
        <w:t xml:space="preserve">resection</w:t>
      </w:r>
      <w:r>
        <w:t xml:space="preserve"> </w:t>
      </w:r>
      <w:r>
        <w:t xml:space="preserve">was</w:t>
      </w:r>
      <w:r>
        <w:t xml:space="preserve"> </w:t>
      </w:r>
      <w:r>
        <w:t xml:space="preserve">achieved</w:t>
      </w:r>
      <w:r>
        <w:t xml:space="preserve"> </w:t>
      </w:r>
      <w:r>
        <w:t xml:space="preserve">in</w:t>
      </w:r>
      <w:r>
        <w:t xml:space="preserve"> </w:t>
      </w:r>
      <w:r>
        <w:t xml:space="preserve">all</w:t>
      </w:r>
      <w:r>
        <w:t xml:space="preserve"> </w:t>
      </w:r>
      <w:r>
        <w:t xml:space="preserve">cases</w:t>
      </w:r>
      <w:r>
        <w:t xml:space="preserve"> </w:t>
      </w:r>
      <w:r>
        <w:t xml:space="preserve">with</w:t>
      </w:r>
      <w:r>
        <w:t xml:space="preserve"> </w:t>
      </w:r>
      <w:r>
        <w:t xml:space="preserve">no</w:t>
      </w:r>
      <w:r>
        <w:t xml:space="preserve"> </w:t>
      </w:r>
      <w:r>
        <w:t xml:space="preserve">known</w:t>
      </w:r>
      <w:r>
        <w:t xml:space="preserve"> </w:t>
      </w:r>
      <w:r>
        <w:t xml:space="preserve">recurrence</w:t>
      </w:r>
      <w:r>
        <w:t xml:space="preserve"> </w:t>
      </w:r>
      <w:r>
        <w:t xml:space="preserve">at</w:t>
      </w:r>
      <w:r>
        <w:t xml:space="preserve"> </w:t>
      </w:r>
      <w:r>
        <w:t xml:space="preserve">nearly</w:t>
      </w:r>
      <w:r>
        <w:t xml:space="preserve"> </w:t>
      </w:r>
      <w:r>
        <w:t xml:space="preserve">5</w:t>
      </w:r>
      <w:r>
        <w:t xml:space="preserve"> </w:t>
      </w:r>
      <w:r>
        <w:t xml:space="preserve">years</w:t>
      </w:r>
      <w:r>
        <w:t xml:space="preserve"> </w:t>
      </w:r>
      <w:r>
        <w:t xml:space="preserve">of</w:t>
      </w:r>
      <w:r>
        <w:t xml:space="preserve"> </w:t>
      </w:r>
      <w:r>
        <w:t xml:space="preserve">mean</w:t>
      </w:r>
      <w:r>
        <w:t xml:space="preserve"> </w:t>
      </w:r>
      <w:r>
        <w:t xml:space="preserve">follow</w:t>
      </w:r>
      <w:r>
        <w:t xml:space="preserve"> </w:t>
      </w:r>
      <w:r>
        <w:t xml:space="preserve">up.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Pituicytomas (PCT), granular cell tumors (GCT) and spindle cell</w:t>
      </w:r>
      <w:r>
        <w:t xml:space="preserve"> </w:t>
      </w:r>
      <w:r>
        <w:t xml:space="preserve">oncocytomas (SCO) are rare, intrinsic neoplasms of the sellar region. </w:t>
      </w:r>
      <w:r>
        <w:t xml:space="preserve"> </w:t>
      </w:r>
      <w:r>
        <w:t xml:space="preserve">As a group, they are classified as non-neuroendocrine World Health</w:t>
      </w:r>
      <w:r>
        <w:t xml:space="preserve"> </w:t>
      </w:r>
      <w:r>
        <w:t xml:space="preserve">Organization Grade I tumors arising from the</w:t>
      </w:r>
      <w:r>
        <w:t xml:space="preserve"> </w:t>
      </w:r>
      <w:r>
        <w:t xml:space="preserve">posterior pituitary (Lopes 2017). Pituicytomas are characterized</w:t>
      </w:r>
      <w:r>
        <w:t xml:space="preserve"> </w:t>
      </w:r>
      <w:r>
        <w:t xml:space="preserve">by their origin from pituicytes, a specialized glial cell found in the</w:t>
      </w:r>
      <w:r>
        <w:t xml:space="preserve"> </w:t>
      </w:r>
      <w:r>
        <w:t xml:space="preserve">neurohypophysis</w:t>
      </w:r>
      <w:r>
        <w:rPr>
          <w:vertAlign w:val="superscript"/>
        </w:rPr>
        <w:t xml:space="preserve">2</w:t>
      </w:r>
      <w:r>
        <w:t xml:space="preserve">. Granular cell tumors of the</w:t>
      </w:r>
      <w:r>
        <w:t xml:space="preserve"> </w:t>
      </w:r>
      <w:r>
        <w:t xml:space="preserve">neurohypophysis are masses of uncertain origin, but some studies suggest</w:t>
      </w:r>
      <w:r>
        <w:t xml:space="preserve"> </w:t>
      </w:r>
      <w:r>
        <w:t xml:space="preserve">that these tumors originate from pituicytes</w:t>
      </w:r>
      <w:r>
        <w:rPr>
          <w:vertAlign w:val="superscript"/>
        </w:rPr>
        <w:t xml:space="preserve">3,4</w:t>
      </w:r>
      <w:r>
        <w:t xml:space="preserve">.</w:t>
      </w:r>
      <w:r>
        <w:t xml:space="preserve"> </w:t>
      </w:r>
      <w:r>
        <w:t xml:space="preserve">Spindle cell oncocytomas of the adenohypophysis also have unclear</w:t>
      </w:r>
      <w:r>
        <w:t xml:space="preserve"> </w:t>
      </w:r>
      <w:r>
        <w:t xml:space="preserve">cellular origins; however, Roncaroli et al</w:t>
      </w:r>
      <w:r>
        <w:rPr>
          <w:vertAlign w:val="superscript"/>
        </w:rPr>
        <w:t xml:space="preserve">5</w:t>
      </w:r>
      <w:r>
        <w:t xml:space="preserve"> </w:t>
      </w:r>
      <w:r>
        <w:t xml:space="preserve">suggests</w:t>
      </w:r>
      <w:r>
        <w:t xml:space="preserve"> </w:t>
      </w:r>
      <w:r>
        <w:t xml:space="preserve">that SCOs are derived from folliculostellate cells, which are</w:t>
      </w:r>
      <w:r>
        <w:t xml:space="preserve"> </w:t>
      </w:r>
      <w:r>
        <w:t xml:space="preserve">sustentacular cells of the adenohypophysis. A common histogenetic marker</w:t>
      </w:r>
      <w:r>
        <w:t xml:space="preserve"> </w:t>
      </w:r>
      <w:r>
        <w:t xml:space="preserve">seems to be thyroid transcription factor 1 (TTF-1) expression, which has</w:t>
      </w:r>
      <w:r>
        <w:t xml:space="preserve"> </w:t>
      </w:r>
      <w:r>
        <w:t xml:space="preserve">been recognized</w:t>
      </w:r>
      <w:r>
        <w:rPr>
          <w:vertAlign w:val="superscript"/>
        </w:rPr>
        <w:t xml:space="preserve">6</w:t>
      </w:r>
      <w:r>
        <w:t xml:space="preserve"> </w:t>
      </w:r>
      <w:r>
        <w:t xml:space="preserve">as positively staining in sellar</w:t>
      </w:r>
      <w:r>
        <w:t xml:space="preserve"> </w:t>
      </w:r>
      <w:r>
        <w:t xml:space="preserve">region tumors, specifically towards pituicytes. </w:t>
      </w:r>
    </w:p>
    <w:p>
      <w:pPr>
        <w:pStyle w:val="BodyText"/>
      </w:pPr>
      <w:r>
        <w:t xml:space="preserve">Although all considered benign tumors, their progression can cause</w:t>
      </w:r>
      <w:r>
        <w:t xml:space="preserve"> </w:t>
      </w:r>
      <w:r>
        <w:t xml:space="preserve">symptoms typical of sellar masses including headaches, endocrine</w:t>
      </w:r>
      <w:r>
        <w:t xml:space="preserve"> </w:t>
      </w:r>
      <w:r>
        <w:t xml:space="preserve">abnormalities, and vision loss. When these lesions are symptomatic,</w:t>
      </w:r>
      <w:r>
        <w:t xml:space="preserve"> </w:t>
      </w:r>
      <w:r>
        <w:t xml:space="preserve">treatment is indicated, however there is debate regarding management in</w:t>
      </w:r>
      <w:r>
        <w:t xml:space="preserve"> </w:t>
      </w:r>
      <w:r>
        <w:t xml:space="preserve">the literature. To date there are limited surgical case series of these</w:t>
      </w:r>
      <w:r>
        <w:t xml:space="preserve"> </w:t>
      </w:r>
      <w:r>
        <w:t xml:space="preserve">tumors, and most without long-term follow up. We present a single</w:t>
      </w:r>
      <w:r>
        <w:t xml:space="preserve"> </w:t>
      </w:r>
      <w:r>
        <w:t xml:space="preserve">institutional series reporting clinical presentation,</w:t>
      </w:r>
      <w:r>
        <w:t xml:space="preserve"> </w:t>
      </w:r>
      <w:r>
        <w:t xml:space="preserve">immunohistochemical results, and intraoperative and postoperative</w:t>
      </w:r>
      <w:r>
        <w:t xml:space="preserve"> </w:t>
      </w:r>
      <w:r>
        <w:t xml:space="preserve">findings.</w:t>
      </w:r>
    </w:p>
    <w:p>
      <w:pPr>
        <w:pStyle w:val="BodyText"/>
      </w:pPr>
      <w:r>
        <w:t xml:space="preserve"> </w:t>
      </w:r>
    </w:p>
    <w:p>
      <w:pPr>
        <w:pStyle w:val="Heading1"/>
      </w:pPr>
      <w:bookmarkStart w:id="22" w:name="methods"/>
      <w:bookmarkEnd w:id="22"/>
      <w:r>
        <w:t xml:space="preserve">Methods</w:t>
      </w:r>
    </w:p>
    <w:p>
      <w:pPr>
        <w:pStyle w:val="FirstParagraph"/>
      </w:pPr>
      <w:r>
        <w:t xml:space="preserve">We performed a retrospective case series review by querying our</w:t>
      </w:r>
      <w:r>
        <w:t xml:space="preserve"> </w:t>
      </w:r>
      <w:r>
        <w:t xml:space="preserve">institutional pathological database for GCTs, PCTs, and SCOs. Surgical</w:t>
      </w:r>
      <w:r>
        <w:t xml:space="preserve"> </w:t>
      </w:r>
      <w:r>
        <w:t xml:space="preserve">interventions occurred between 1997-2017 on all patients. We received</w:t>
      </w:r>
      <w:r>
        <w:t xml:space="preserve"> </w:t>
      </w:r>
      <w:r>
        <w:t xml:space="preserve">approval from our local Institutional Review Board for this study. Out</w:t>
      </w:r>
      <w:r>
        <w:t xml:space="preserve"> </w:t>
      </w:r>
      <w:r>
        <w:t xml:space="preserve">of 16 patients found, 11 patients (4 GCTs, 4 PCTs, and 3 SCOs) had</w:t>
      </w:r>
      <w:r>
        <w:t xml:space="preserve"> </w:t>
      </w:r>
      <w:r>
        <w:t xml:space="preserve">clinical records sufficient to conduct a retrospective review. Clinic</w:t>
      </w:r>
      <w:r>
        <w:t xml:space="preserve"> </w:t>
      </w:r>
      <w:r>
        <w:t xml:space="preserve">notes from surgical and consulting specialties were used to assess</w:t>
      </w:r>
      <w:r>
        <w:t xml:space="preserve"> </w:t>
      </w:r>
      <w:r>
        <w:t xml:space="preserve">demographics, presenting symptoms, endocrine status, and post-operative</w:t>
      </w:r>
      <w:r>
        <w:t xml:space="preserve"> </w:t>
      </w:r>
      <w:r>
        <w:t xml:space="preserve">complications and health status. Operative reports were reviewed for</w:t>
      </w:r>
      <w:r>
        <w:t xml:space="preserve"> </w:t>
      </w:r>
      <w:r>
        <w:t xml:space="preserve">surgical characteristics. Magnetic resonance imaging (MRI) files, in</w:t>
      </w:r>
      <w:r>
        <w:t xml:space="preserve"> </w:t>
      </w:r>
      <w:r>
        <w:t xml:space="preserve">addition to radiologic reports, were used to assess tumor size,</w:t>
      </w:r>
      <w:r>
        <w:t xml:space="preserve"> </w:t>
      </w:r>
      <w:r>
        <w:t xml:space="preserve">location, and recurrence. Immunohistochemical studies were performed by</w:t>
      </w:r>
      <w:r>
        <w:t xml:space="preserve"> </w:t>
      </w:r>
      <w:r>
        <w:t xml:space="preserve">our institutional neuropathologists using standard techniques. On</w:t>
      </w:r>
      <w:r>
        <w:t xml:space="preserve"> </w:t>
      </w:r>
      <w:r>
        <w:t xml:space="preserve">initiation of this study, all tumor samples were evaluated for TTF-1</w:t>
      </w:r>
      <w:r>
        <w:t xml:space="preserve"> </w:t>
      </w:r>
      <w:r>
        <w:t xml:space="preserve">staining. Categorical variables were analyzed with a two-tailed Fisher</w:t>
      </w:r>
      <w:r>
        <w:t xml:space="preserve"> </w:t>
      </w:r>
      <w:r>
        <w:t xml:space="preserve">exact tests. Continuous variables were analys</w:t>
      </w:r>
    </w:p>
    <w:p>
      <w:pPr>
        <w:pStyle w:val="Heading1"/>
      </w:pPr>
      <w:bookmarkStart w:id="23" w:name="results"/>
      <w:bookmarkEnd w:id="23"/>
      <w:r>
        <w:t xml:space="preserve">Results</w:t>
      </w:r>
    </w:p>
    <w:p>
      <w:pPr>
        <w:pStyle w:val="Heading2"/>
      </w:pPr>
      <w:bookmarkStart w:id="24" w:name="clinical-presentation"/>
      <w:bookmarkEnd w:id="24"/>
      <w:r>
        <w:t xml:space="preserve">Clinical Presentation</w:t>
      </w:r>
    </w:p>
    <w:p>
      <w:pPr>
        <w:pStyle w:val="FirstParagraph"/>
      </w:pPr>
      <w:r>
        <w:t xml:space="preserve">Demographic and clinical results are presented in Table 1. Eleven</w:t>
      </w:r>
      <w:r>
        <w:t xml:space="preserve"> </w:t>
      </w:r>
      <w:r>
        <w:t xml:space="preserve">patients with a mean age of 54.7 ± 15.4 years were studied. 45.5% of</w:t>
      </w:r>
      <w:r>
        <w:t xml:space="preserve"> </w:t>
      </w:r>
      <w:r>
        <w:t xml:space="preserve">the patients were female (p = 1.0). There was also no association</w:t>
      </w:r>
      <w:r>
        <w:t xml:space="preserve"> </w:t>
      </w:r>
      <w:r>
        <w:t xml:space="preserve">between either age or sex and tumor type. Visual changes were the most</w:t>
      </w:r>
      <w:r>
        <w:t xml:space="preserve"> </w:t>
      </w:r>
      <w:r>
        <w:t xml:space="preserve">common presenting clinical finding for the three tumors collectively</w:t>
      </w:r>
      <w:r>
        <w:t xml:space="preserve"> </w:t>
      </w:r>
      <w:r>
        <w:t xml:space="preserve">(7/11). The next most common symptoms were headaches (6/11),</w:t>
      </w:r>
      <w:r>
        <w:t xml:space="preserve"> </w:t>
      </w:r>
      <w:r>
        <w:t xml:space="preserve">pre-operative endocrine abnormalities (6/11), and fatigue (5/11). GCTs</w:t>
      </w:r>
      <w:r>
        <w:t xml:space="preserve"> </w:t>
      </w:r>
      <w:r>
        <w:t xml:space="preserve">most commonly presented with headaches (3/4), followed by fatigue/vision</w:t>
      </w:r>
      <w:r>
        <w:t xml:space="preserve"> </w:t>
      </w:r>
      <w:r>
        <w:t xml:space="preserve">changes (2/2) and pre-operative endocrine abnormalities (1/4). PCTs most</w:t>
      </w:r>
      <w:r>
        <w:t xml:space="preserve"> </w:t>
      </w:r>
      <w:r>
        <w:t xml:space="preserve">commonly presented with vision changes (3/4), followed by pre-operative</w:t>
      </w:r>
      <w:r>
        <w:t xml:space="preserve"> </w:t>
      </w:r>
      <w:r>
        <w:t xml:space="preserve">endocrine abnormalities (2/4) and headache/fatigue (1/4). SCOs most</w:t>
      </w:r>
      <w:r>
        <w:t xml:space="preserve"> </w:t>
      </w:r>
      <w:r>
        <w:t xml:space="preserve">commonly presented with pre-operative endocrine abnormalities (3/3),</w:t>
      </w:r>
      <w:r>
        <w:t xml:space="preserve"> </w:t>
      </w:r>
      <w:r>
        <w:t xml:space="preserve">followed by headache, fatigue, and pre-operative endocrine abnormalities</w:t>
      </w:r>
      <w:r>
        <w:t xml:space="preserve"> </w:t>
      </w:r>
      <w:r>
        <w:t xml:space="preserve">(2/4). </w:t>
      </w:r>
    </w:p>
    <w:p>
      <w:pPr>
        <w:pStyle w:val="BodyText"/>
      </w:pPr>
      <w:r>
        <w:br w:type="textWrapping"/>
      </w:r>
    </w:p>
    <w:p>
      <w:pPr>
        <w:pStyle w:val="TableCaption"/>
      </w:pPr>
      <w:r>
        <w:t xml:space="preserve">Demographics and clinical presentation by tumor type.</w:t>
      </w:r>
      <w:r>
        <w:t xml:space="preserve"> </w:t>
      </w:r>
    </w:p>
    <w:tbl>
      <w:tblPr>
        <w:tblStyle w:val="TableNormal"/>
        <w:tblW w:type="pct" w:w="0.0"/>
        <w:tblLook/>
        <w:tblCaption w:val="Demographics and clinical presentation by tumor type. "/>
      </w:tblPr>
      <w:tblGrid/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[ALL] N=11</w:t>
            </w:r>
          </w:p>
        </w:tc>
        <w:tc>
          <w:p>
            <w:pPr>
              <w:pStyle w:val="Compact"/>
              <w:jc w:val="center"/>
            </w:pPr>
            <w:r>
              <w:t xml:space="preserve">GCT N=4</w:t>
            </w:r>
          </w:p>
        </w:tc>
        <w:tc>
          <w:p>
            <w:pPr>
              <w:pStyle w:val="Compact"/>
              <w:jc w:val="center"/>
            </w:pPr>
            <w:r>
              <w:t xml:space="preserve">PCT N=4</w:t>
            </w:r>
          </w:p>
        </w:tc>
        <w:tc>
          <w:p>
            <w:pPr>
              <w:pStyle w:val="Compact"/>
              <w:jc w:val="center"/>
            </w:pPr>
            <w:r>
              <w:t xml:space="preserve">SCO N=3</w:t>
            </w:r>
          </w:p>
        </w:tc>
        <w:tc>
          <w:p>
            <w:pPr>
              <w:pStyle w:val="Compact"/>
              <w:jc w:val="center"/>
            </w:pPr>
            <w:r>
              <w:t xml:space="preserve">P value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Age</w:t>
            </w:r>
          </w:p>
        </w:tc>
        <w:tc>
          <w:p>
            <w:pPr>
              <w:pStyle w:val="Compact"/>
              <w:jc w:val="center"/>
            </w:pPr>
            <w:r>
              <w:t xml:space="preserve">54.7 (15.4)</w:t>
            </w:r>
          </w:p>
        </w:tc>
        <w:tc>
          <w:p>
            <w:pPr>
              <w:pStyle w:val="Compact"/>
              <w:jc w:val="center"/>
            </w:pPr>
            <w:r>
              <w:t xml:space="preserve">53.8 (6.29)</w:t>
            </w:r>
          </w:p>
        </w:tc>
        <w:tc>
          <w:p>
            <w:pPr>
              <w:pStyle w:val="Compact"/>
              <w:jc w:val="center"/>
            </w:pPr>
            <w:r>
              <w:t xml:space="preserve">56.5 (19.6)</w:t>
            </w:r>
          </w:p>
        </w:tc>
        <w:tc>
          <w:p>
            <w:pPr>
              <w:pStyle w:val="Compact"/>
              <w:jc w:val="center"/>
            </w:pPr>
            <w:r>
              <w:t xml:space="preserve">53.7 (23.3)</w:t>
            </w:r>
          </w:p>
        </w:tc>
        <w:tc>
          <w:p>
            <w:pPr>
              <w:pStyle w:val="Compact"/>
              <w:jc w:val="center"/>
            </w:pPr>
            <w:r>
              <w:t xml:space="preserve">0.97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Sex: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F</w:t>
            </w:r>
          </w:p>
        </w:tc>
        <w:tc>
          <w:p>
            <w:pPr>
              <w:pStyle w:val="Compact"/>
              <w:jc w:val="center"/>
            </w:pPr>
            <w:r>
              <w:t xml:space="preserve">5 (45.5%)</w:t>
            </w:r>
          </w:p>
        </w:tc>
        <w:tc>
          <w:p>
            <w:pPr>
              <w:pStyle w:val="Compact"/>
              <w:jc w:val="center"/>
            </w:pPr>
            <w:r>
              <w:t xml:space="preserve">2 (50.0%)</w:t>
            </w:r>
          </w:p>
        </w:tc>
        <w:tc>
          <w:p>
            <w:pPr>
              <w:pStyle w:val="Compact"/>
              <w:jc w:val="center"/>
            </w:pPr>
            <w:r>
              <w:t xml:space="preserve">2 (50.0%)</w:t>
            </w:r>
          </w:p>
        </w:tc>
        <w:tc>
          <w:p>
            <w:pPr>
              <w:pStyle w:val="Compact"/>
              <w:jc w:val="center"/>
            </w:pPr>
            <w:r>
              <w:t xml:space="preserve">1 (33.3%)</w:t>
            </w: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center"/>
            </w:pPr>
            <w:r>
              <w:t xml:space="preserve">M</w:t>
            </w:r>
          </w:p>
        </w:tc>
        <w:tc>
          <w:p>
            <w:pPr>
              <w:pStyle w:val="Compact"/>
              <w:jc w:val="center"/>
            </w:pPr>
            <w:r>
              <w:t xml:space="preserve">6 (54.5%)</w:t>
            </w:r>
          </w:p>
        </w:tc>
        <w:tc>
          <w:p>
            <w:pPr>
              <w:pStyle w:val="Compact"/>
              <w:jc w:val="center"/>
            </w:pPr>
            <w:r>
              <w:t xml:space="preserve">2 (50.0%)</w:t>
            </w:r>
          </w:p>
        </w:tc>
        <w:tc>
          <w:p>
            <w:pPr>
              <w:pStyle w:val="Compact"/>
              <w:jc w:val="center"/>
            </w:pPr>
            <w:r>
              <w:t xml:space="preserve">2 (50.0%)</w:t>
            </w:r>
          </w:p>
        </w:tc>
        <w:tc>
          <w:p>
            <w:pPr>
              <w:pStyle w:val="Compact"/>
              <w:jc w:val="center"/>
            </w:pPr>
            <w:r>
              <w:t xml:space="preserve">2 (66.7%)</w:t>
            </w: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center"/>
            </w:pPr>
            <w:r>
              <w:t xml:space="preserve">Headache</w:t>
            </w:r>
          </w:p>
        </w:tc>
        <w:tc>
          <w:p>
            <w:pPr>
              <w:pStyle w:val="Compact"/>
              <w:jc w:val="center"/>
            </w:pPr>
            <w:r>
              <w:t xml:space="preserve">6 (54.5%)</w:t>
            </w:r>
          </w:p>
        </w:tc>
        <w:tc>
          <w:p>
            <w:pPr>
              <w:pStyle w:val="Compact"/>
              <w:jc w:val="center"/>
            </w:pPr>
            <w:r>
              <w:t xml:space="preserve">3 (75.0%)</w:t>
            </w:r>
          </w:p>
        </w:tc>
        <w:tc>
          <w:p>
            <w:pPr>
              <w:pStyle w:val="Compact"/>
              <w:jc w:val="center"/>
            </w:pPr>
            <w:r>
              <w:t xml:space="preserve">1 (25.0%)</w:t>
            </w:r>
          </w:p>
        </w:tc>
        <w:tc>
          <w:p>
            <w:pPr>
              <w:pStyle w:val="Compact"/>
              <w:jc w:val="center"/>
            </w:pPr>
            <w:r>
              <w:t xml:space="preserve">2 (66.7%)</w:t>
            </w:r>
          </w:p>
        </w:tc>
        <w:tc>
          <w:p>
            <w:pPr>
              <w:pStyle w:val="Compact"/>
              <w:jc w:val="center"/>
            </w:pPr>
            <w:r>
              <w:t xml:space="preserve">0.46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Fatigue</w:t>
            </w:r>
          </w:p>
        </w:tc>
        <w:tc>
          <w:p>
            <w:pPr>
              <w:pStyle w:val="Compact"/>
              <w:jc w:val="center"/>
            </w:pPr>
            <w:r>
              <w:t xml:space="preserve">5 (45.5%)</w:t>
            </w:r>
          </w:p>
        </w:tc>
        <w:tc>
          <w:p>
            <w:pPr>
              <w:pStyle w:val="Compact"/>
              <w:jc w:val="center"/>
            </w:pPr>
            <w:r>
              <w:t xml:space="preserve">2 (50.0%)</w:t>
            </w:r>
          </w:p>
        </w:tc>
        <w:tc>
          <w:p>
            <w:pPr>
              <w:pStyle w:val="Compact"/>
              <w:jc w:val="center"/>
            </w:pPr>
            <w:r>
              <w:t xml:space="preserve">1 (25.0%)</w:t>
            </w:r>
          </w:p>
        </w:tc>
        <w:tc>
          <w:p>
            <w:pPr>
              <w:pStyle w:val="Compact"/>
              <w:jc w:val="center"/>
            </w:pPr>
            <w:r>
              <w:t xml:space="preserve">2 (66.7%)</w:t>
            </w:r>
          </w:p>
        </w:tc>
        <w:tc>
          <w:p>
            <w:pPr>
              <w:pStyle w:val="Compact"/>
              <w:jc w:val="center"/>
            </w:pPr>
            <w:r>
              <w:t xml:space="preserve">0.77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Vision changes</w:t>
            </w:r>
          </w:p>
        </w:tc>
        <w:tc>
          <w:p>
            <w:pPr>
              <w:pStyle w:val="Compact"/>
              <w:jc w:val="center"/>
            </w:pPr>
            <w:r>
              <w:t xml:space="preserve">7 (63.6%)</w:t>
            </w:r>
          </w:p>
        </w:tc>
        <w:tc>
          <w:p>
            <w:pPr>
              <w:pStyle w:val="Compact"/>
              <w:jc w:val="center"/>
            </w:pPr>
            <w:r>
              <w:t xml:space="preserve">2 (50.0%)</w:t>
            </w:r>
          </w:p>
        </w:tc>
        <w:tc>
          <w:p>
            <w:pPr>
              <w:pStyle w:val="Compact"/>
              <w:jc w:val="center"/>
            </w:pPr>
            <w:r>
              <w:t xml:space="preserve">3 (75.0%)</w:t>
            </w:r>
          </w:p>
        </w:tc>
        <w:tc>
          <w:p>
            <w:pPr>
              <w:pStyle w:val="Compact"/>
              <w:jc w:val="center"/>
            </w:pPr>
            <w:r>
              <w:t xml:space="preserve">2 (66.7%)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Endocrine abnormality</w:t>
            </w:r>
          </w:p>
        </w:tc>
        <w:tc>
          <w:p>
            <w:pPr>
              <w:pStyle w:val="Compact"/>
              <w:jc w:val="center"/>
            </w:pPr>
            <w:r>
              <w:t xml:space="preserve">6 (54.5%)</w:t>
            </w:r>
          </w:p>
        </w:tc>
        <w:tc>
          <w:p>
            <w:pPr>
              <w:pStyle w:val="Compact"/>
              <w:jc w:val="center"/>
            </w:pPr>
            <w:r>
              <w:t xml:space="preserve">1 (25.0%)</w:t>
            </w:r>
          </w:p>
        </w:tc>
        <w:tc>
          <w:p>
            <w:pPr>
              <w:pStyle w:val="Compact"/>
              <w:jc w:val="center"/>
            </w:pPr>
            <w:r>
              <w:t xml:space="preserve">2 (50.0%)</w:t>
            </w:r>
          </w:p>
        </w:tc>
        <w:tc>
          <w:p>
            <w:pPr>
              <w:pStyle w:val="Compact"/>
              <w:jc w:val="center"/>
            </w:pPr>
            <w:r>
              <w:t xml:space="preserve">3 (100%)</w:t>
            </w:r>
          </w:p>
        </w:tc>
        <w:tc>
          <w:p>
            <w:pPr>
              <w:pStyle w:val="Compact"/>
              <w:jc w:val="center"/>
            </w:pPr>
            <w:r>
              <w:t xml:space="preserve">0.25</w:t>
            </w:r>
          </w:p>
        </w:tc>
      </w:tr>
    </w:tbl>
    <w:p>
      <w:pPr>
        <w:pStyle w:val="Heading2"/>
      </w:pPr>
      <w:bookmarkStart w:id="25" w:name="tumor-location-and-size"/>
      <w:bookmarkEnd w:id="25"/>
      <w:r>
        <w:t xml:space="preserve">Tumor Location and Size</w:t>
      </w:r>
    </w:p>
    <w:p>
      <w:pPr>
        <w:pStyle w:val="FirstParagraph"/>
      </w:pPr>
      <w:r>
        <w:t xml:space="preserve">Tumor location, size, and approach findings are presented in Table 2. Of</w:t>
      </w:r>
      <w:r>
        <w:t xml:space="preserve"> </w:t>
      </w:r>
      <w:r>
        <w:t xml:space="preserve">the eleven tumors, GCTs were found exclusively as a part of the</w:t>
      </w:r>
      <w:r>
        <w:t xml:space="preserve"> </w:t>
      </w:r>
      <w:r>
        <w:t xml:space="preserve">suprasellar or infundibular regions (4/4; Table 2), PCTs were found as a</w:t>
      </w:r>
      <w:r>
        <w:t xml:space="preserve"> </w:t>
      </w:r>
      <w:r>
        <w:t xml:space="preserve">part of the infundibular or sellar regions, while SCOs were found in the</w:t>
      </w:r>
      <w:r>
        <w:t xml:space="preserve"> </w:t>
      </w:r>
      <w:r>
        <w:t xml:space="preserve">suprasellar, infundibular, or sellar regions. GCTs were the only tumors</w:t>
      </w:r>
      <w:r>
        <w:t xml:space="preserve"> </w:t>
      </w:r>
      <w:r>
        <w:t xml:space="preserve">to be found exclusively as a part of the infundibular region, as well as</w:t>
      </w:r>
      <w:r>
        <w:t xml:space="preserve"> </w:t>
      </w:r>
      <w:r>
        <w:t xml:space="preserve">exclusively presenting in the suprasellar space. Pre-operative MRI scans</w:t>
      </w:r>
      <w:r>
        <w:t xml:space="preserve"> </w:t>
      </w:r>
      <w:r>
        <w:t xml:space="preserve">were used to determine tumor sizes in the vertical direction and maximum</w:t>
      </w:r>
      <w:r>
        <w:t xml:space="preserve"> </w:t>
      </w:r>
      <w:r>
        <w:t xml:space="preserve">dimensions in the horizontal direction. The average tumor was 1.93 cm at</w:t>
      </w:r>
      <w:r>
        <w:t xml:space="preserve"> </w:t>
      </w:r>
      <w:r>
        <w:t xml:space="preserve">presentation, with GCTs, PCTs, and SCOs averaging 1.48 cm, 2.23 cm, and</w:t>
      </w:r>
      <w:r>
        <w:t xml:space="preserve"> </w:t>
      </w:r>
      <w:r>
        <w:t xml:space="preserve">2.13 cm respectively (p = 0.3). Figure 1 depicts the relative location</w:t>
      </w:r>
      <w:r>
        <w:t xml:space="preserve"> </w:t>
      </w:r>
      <w:r>
        <w:t xml:space="preserve">and size (scaled relative to the two maximum dimensions) of the eleven</w:t>
      </w:r>
      <w:r>
        <w:t xml:space="preserve"> </w:t>
      </w:r>
      <w:r>
        <w:t xml:space="preserve">different tumors.</w:t>
      </w:r>
    </w:p>
    <w:p>
      <w:pPr>
        <w:pStyle w:val="BodyText"/>
      </w:pPr>
      <w:r>
        <w:br w:type="textWrapping"/>
      </w:r>
    </w:p>
    <w:p>
      <w:pPr>
        <w:pStyle w:val="TableCaption"/>
      </w:pPr>
      <w:r>
        <w:t xml:space="preserve">Tumor location and approach by tumor type. Location categories are not</w:t>
      </w:r>
      <w:r>
        <w:t xml:space="preserve"> </w:t>
      </w:r>
      <w:r>
        <w:t xml:space="preserve">mutually exclusive.</w:t>
      </w:r>
      <w:r>
        <w:t xml:space="preserve"> </w:t>
      </w:r>
    </w:p>
    <w:tbl>
      <w:tblPr>
        <w:tblStyle w:val="TableNormal"/>
        <w:tblW w:type="pct" w:w="0.0"/>
        <w:tblLook/>
        <w:tblCaption w:val="Tumor location and approach by tumor type. Location categories are not mutually exclusive. "/>
      </w:tblPr>
      <w:tblGrid/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[ALL] N=11</w:t>
            </w:r>
          </w:p>
        </w:tc>
        <w:tc>
          <w:p>
            <w:pPr>
              <w:pStyle w:val="Compact"/>
              <w:jc w:val="center"/>
            </w:pPr>
            <w:r>
              <w:t xml:space="preserve">GCT N=4</w:t>
            </w:r>
          </w:p>
        </w:tc>
        <w:tc>
          <w:p>
            <w:pPr>
              <w:pStyle w:val="Compact"/>
              <w:jc w:val="center"/>
            </w:pPr>
            <w:r>
              <w:t xml:space="preserve">PCT N=4</w:t>
            </w:r>
          </w:p>
        </w:tc>
        <w:tc>
          <w:p>
            <w:pPr>
              <w:pStyle w:val="Compact"/>
              <w:jc w:val="center"/>
            </w:pPr>
            <w:r>
              <w:t xml:space="preserve">SCO N=3</w:t>
            </w:r>
          </w:p>
        </w:tc>
        <w:tc>
          <w:p>
            <w:pPr>
              <w:pStyle w:val="Compact"/>
              <w:jc w:val="center"/>
            </w:pPr>
            <w:r>
              <w:t xml:space="preserve">P value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Size, Max dimension</w:t>
            </w:r>
          </w:p>
        </w:tc>
        <w:tc>
          <w:p>
            <w:pPr>
              <w:pStyle w:val="Compact"/>
              <w:jc w:val="center"/>
            </w:pPr>
            <w:r>
              <w:t xml:space="preserve">1.93 (0.72)</w:t>
            </w:r>
          </w:p>
        </w:tc>
        <w:tc>
          <w:p>
            <w:pPr>
              <w:pStyle w:val="Compact"/>
              <w:jc w:val="center"/>
            </w:pPr>
            <w:r>
              <w:t xml:space="preserve">1.48 (0.63)</w:t>
            </w:r>
          </w:p>
        </w:tc>
        <w:tc>
          <w:p>
            <w:pPr>
              <w:pStyle w:val="Compact"/>
              <w:jc w:val="center"/>
            </w:pPr>
            <w:r>
              <w:t xml:space="preserve">2.23 (0.79)</w:t>
            </w:r>
          </w:p>
        </w:tc>
        <w:tc>
          <w:p>
            <w:pPr>
              <w:pStyle w:val="Compact"/>
              <w:jc w:val="center"/>
            </w:pPr>
            <w:r>
              <w:t xml:space="preserve">2.13 (0.61)</w:t>
            </w:r>
          </w:p>
        </w:tc>
        <w:tc>
          <w:p>
            <w:pPr>
              <w:pStyle w:val="Compact"/>
              <w:jc w:val="center"/>
            </w:pPr>
            <w:r>
              <w:t xml:space="preserve">0.31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Sellar</w:t>
            </w:r>
          </w:p>
        </w:tc>
        <w:tc>
          <w:p>
            <w:pPr>
              <w:pStyle w:val="Compact"/>
              <w:jc w:val="center"/>
            </w:pPr>
            <w:r>
              <w:t xml:space="preserve">7 (63.6%)</w:t>
            </w:r>
          </w:p>
        </w:tc>
        <w:tc>
          <w:p>
            <w:pPr>
              <w:pStyle w:val="Compact"/>
              <w:jc w:val="center"/>
            </w:pPr>
            <w:r>
              <w:t xml:space="preserve">0 (0.0%)</w:t>
            </w:r>
          </w:p>
        </w:tc>
        <w:tc>
          <w:p>
            <w:pPr>
              <w:pStyle w:val="Compact"/>
              <w:jc w:val="center"/>
            </w:pPr>
            <w:r>
              <w:t xml:space="preserve">4 (100%)</w:t>
            </w:r>
          </w:p>
        </w:tc>
        <w:tc>
          <w:p>
            <w:pPr>
              <w:pStyle w:val="Compact"/>
              <w:jc w:val="center"/>
            </w:pPr>
            <w:r>
              <w:t xml:space="preserve">3 (100%)</w:t>
            </w:r>
          </w:p>
        </w:tc>
        <w:tc>
          <w:p>
            <w:pPr>
              <w:pStyle w:val="Compact"/>
              <w:jc w:val="center"/>
            </w:pPr>
            <w:r>
              <w:t xml:space="preserve">0.01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Suprasellar</w:t>
            </w:r>
          </w:p>
        </w:tc>
        <w:tc>
          <w:p>
            <w:pPr>
              <w:pStyle w:val="Compact"/>
              <w:jc w:val="center"/>
            </w:pPr>
            <w:r>
              <w:t xml:space="preserve">6 (54.5%)</w:t>
            </w:r>
          </w:p>
        </w:tc>
        <w:tc>
          <w:p>
            <w:pPr>
              <w:pStyle w:val="Compact"/>
              <w:jc w:val="center"/>
            </w:pPr>
            <w:r>
              <w:t xml:space="preserve">2 (50.0%)</w:t>
            </w:r>
          </w:p>
        </w:tc>
        <w:tc>
          <w:p>
            <w:pPr>
              <w:pStyle w:val="Compact"/>
              <w:jc w:val="center"/>
            </w:pPr>
            <w:r>
              <w:t xml:space="preserve">3 (75.0%)</w:t>
            </w:r>
          </w:p>
        </w:tc>
        <w:tc>
          <w:p>
            <w:pPr>
              <w:pStyle w:val="Compact"/>
              <w:jc w:val="center"/>
            </w:pPr>
            <w:r>
              <w:t xml:space="preserve">1 (33.3%)</w:t>
            </w:r>
          </w:p>
        </w:tc>
        <w:tc>
          <w:p>
            <w:pPr>
              <w:pStyle w:val="Compact"/>
              <w:jc w:val="center"/>
            </w:pPr>
            <w:r>
              <w:t xml:space="preserve">0.77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Suprasellar including Infundibulum</w:t>
            </w:r>
          </w:p>
        </w:tc>
        <w:tc>
          <w:p>
            <w:pPr>
              <w:pStyle w:val="Compact"/>
              <w:jc w:val="center"/>
            </w:pPr>
            <w:r>
              <w:t xml:space="preserve">9 (81.8%)</w:t>
            </w:r>
          </w:p>
        </w:tc>
        <w:tc>
          <w:p>
            <w:pPr>
              <w:pStyle w:val="Compact"/>
              <w:jc w:val="center"/>
            </w:pPr>
            <w:r>
              <w:t xml:space="preserve">4 (100%)</w:t>
            </w:r>
          </w:p>
        </w:tc>
        <w:tc>
          <w:p>
            <w:pPr>
              <w:pStyle w:val="Compact"/>
              <w:jc w:val="center"/>
            </w:pPr>
            <w:r>
              <w:t xml:space="preserve">3 (75.0%)</w:t>
            </w:r>
          </w:p>
        </w:tc>
        <w:tc>
          <w:p>
            <w:pPr>
              <w:pStyle w:val="Compact"/>
              <w:jc w:val="center"/>
            </w:pPr>
            <w:r>
              <w:t xml:space="preserve">2 (66.7%)</w:t>
            </w:r>
          </w:p>
        </w:tc>
        <w:tc>
          <w:p>
            <w:pPr>
              <w:pStyle w:val="Compact"/>
              <w:jc w:val="center"/>
            </w:pPr>
            <w:r>
              <w:t xml:space="preserve">0.71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Infundibular</w:t>
            </w:r>
          </w:p>
        </w:tc>
        <w:tc>
          <w:p>
            <w:pPr>
              <w:pStyle w:val="Compact"/>
              <w:jc w:val="center"/>
            </w:pPr>
            <w:r>
              <w:t xml:space="preserve">3 (27.3%)</w:t>
            </w:r>
          </w:p>
        </w:tc>
        <w:tc>
          <w:p>
            <w:pPr>
              <w:pStyle w:val="Compact"/>
              <w:jc w:val="center"/>
            </w:pPr>
            <w:r>
              <w:t xml:space="preserve">2 (50.0%)</w:t>
            </w:r>
          </w:p>
        </w:tc>
        <w:tc>
          <w:p>
            <w:pPr>
              <w:pStyle w:val="Compact"/>
              <w:jc w:val="center"/>
            </w:pPr>
            <w:r>
              <w:t xml:space="preserve">0 (0.0%)</w:t>
            </w:r>
          </w:p>
        </w:tc>
        <w:tc>
          <w:p>
            <w:pPr>
              <w:pStyle w:val="Compact"/>
              <w:jc w:val="center"/>
            </w:pPr>
            <w:r>
              <w:t xml:space="preserve">1 (33.3%)</w:t>
            </w:r>
          </w:p>
        </w:tc>
        <w:tc>
          <w:p>
            <w:pPr>
              <w:pStyle w:val="Compact"/>
              <w:jc w:val="center"/>
            </w:pPr>
            <w:r>
              <w:t xml:space="preserve">0.42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Infundibular Only</w:t>
            </w:r>
          </w:p>
        </w:tc>
        <w:tc>
          <w:p>
            <w:pPr>
              <w:pStyle w:val="Compact"/>
              <w:jc w:val="center"/>
            </w:pPr>
            <w:r>
              <w:t xml:space="preserve">2 (18.2%)</w:t>
            </w:r>
          </w:p>
        </w:tc>
        <w:tc>
          <w:p>
            <w:pPr>
              <w:pStyle w:val="Compact"/>
              <w:jc w:val="center"/>
            </w:pPr>
            <w:r>
              <w:t xml:space="preserve">2 (50.0%)</w:t>
            </w:r>
          </w:p>
        </w:tc>
        <w:tc>
          <w:p>
            <w:pPr>
              <w:pStyle w:val="Compact"/>
              <w:jc w:val="center"/>
            </w:pPr>
            <w:r>
              <w:t xml:space="preserve">0 (0.0%)</w:t>
            </w:r>
          </w:p>
        </w:tc>
        <w:tc>
          <w:p>
            <w:pPr>
              <w:pStyle w:val="Compact"/>
              <w:jc w:val="center"/>
            </w:pPr>
            <w:r>
              <w:t xml:space="preserve">0 (0.0%)</w:t>
            </w:r>
          </w:p>
        </w:tc>
        <w:tc>
          <w:p>
            <w:pPr>
              <w:pStyle w:val="Compact"/>
              <w:jc w:val="center"/>
            </w:pPr>
            <w:r>
              <w:t xml:space="preserve">0.27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Approach: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0.1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Endoscopic</w:t>
            </w:r>
          </w:p>
        </w:tc>
        <w:tc>
          <w:p>
            <w:pPr>
              <w:pStyle w:val="Compact"/>
              <w:jc w:val="center"/>
            </w:pPr>
            <w:r>
              <w:t xml:space="preserve">1 (9.09%)</w:t>
            </w:r>
          </w:p>
        </w:tc>
        <w:tc>
          <w:p>
            <w:pPr>
              <w:pStyle w:val="Compact"/>
              <w:jc w:val="center"/>
            </w:pPr>
            <w:r>
              <w:t xml:space="preserve">1 (25.0%)</w:t>
            </w:r>
          </w:p>
        </w:tc>
        <w:tc>
          <w:p>
            <w:pPr>
              <w:pStyle w:val="Compact"/>
              <w:jc w:val="center"/>
            </w:pPr>
            <w:r>
              <w:t xml:space="preserve">0 (0.0%)</w:t>
            </w:r>
          </w:p>
        </w:tc>
        <w:tc>
          <w:p>
            <w:pPr>
              <w:pStyle w:val="Compact"/>
              <w:jc w:val="center"/>
            </w:pPr>
            <w:r>
              <w:t xml:space="preserve">0 (0.0%)</w:t>
            </w: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center"/>
            </w:pPr>
            <w:r>
              <w:t xml:space="preserve">Microscopic</w:t>
            </w:r>
          </w:p>
        </w:tc>
        <w:tc>
          <w:p>
            <w:pPr>
              <w:pStyle w:val="Compact"/>
              <w:jc w:val="center"/>
            </w:pPr>
            <w:r>
              <w:t xml:space="preserve">8 (72.7%)</w:t>
            </w:r>
          </w:p>
        </w:tc>
        <w:tc>
          <w:p>
            <w:pPr>
              <w:pStyle w:val="Compact"/>
              <w:jc w:val="center"/>
            </w:pPr>
            <w:r>
              <w:t xml:space="preserve">1 (25.0%)</w:t>
            </w:r>
          </w:p>
        </w:tc>
        <w:tc>
          <w:p>
            <w:pPr>
              <w:pStyle w:val="Compact"/>
              <w:jc w:val="center"/>
            </w:pPr>
            <w:r>
              <w:t xml:space="preserve">4 (100%)</w:t>
            </w:r>
          </w:p>
        </w:tc>
        <w:tc>
          <w:p>
            <w:pPr>
              <w:pStyle w:val="Compact"/>
              <w:jc w:val="center"/>
            </w:pPr>
            <w:r>
              <w:t xml:space="preserve">3 (100%)</w:t>
            </w: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center"/>
            </w:pPr>
            <w:r>
              <w:t xml:space="preserve">Sylvian</w:t>
            </w:r>
          </w:p>
        </w:tc>
        <w:tc>
          <w:p>
            <w:pPr>
              <w:pStyle w:val="Compact"/>
              <w:jc w:val="center"/>
            </w:pPr>
            <w:r>
              <w:t xml:space="preserve">2 (18.2%)</w:t>
            </w:r>
          </w:p>
        </w:tc>
        <w:tc>
          <w:p>
            <w:pPr>
              <w:pStyle w:val="Compact"/>
              <w:jc w:val="center"/>
            </w:pPr>
            <w:r>
              <w:t xml:space="preserve">2 (50.0%)</w:t>
            </w:r>
          </w:p>
        </w:tc>
        <w:tc>
          <w:p>
            <w:pPr>
              <w:pStyle w:val="Compact"/>
              <w:jc w:val="center"/>
            </w:pPr>
            <w:r>
              <w:t xml:space="preserve">0 (0.0%)</w:t>
            </w:r>
          </w:p>
        </w:tc>
        <w:tc>
          <w:p>
            <w:pPr>
              <w:pStyle w:val="Compact"/>
              <w:jc w:val="center"/>
            </w:pPr>
            <w:r>
              <w:t xml:space="preserve">0 (0.0%)</w:t>
            </w:r>
          </w:p>
        </w:tc>
        <w:tc>
          <w:p>
            <w:pPr>
              <w:pStyle w:val="Compact"/>
            </w:pPr>
          </w:p>
        </w:tc>
      </w:tr>
    </w:tbl>
    <w:p>
      <w:pPr>
        <w:pStyle w:val="FigureWithCaption"/>
      </w:pPr>
      <w:r>
        <w:drawing>
          <wp:inline>
            <wp:extent cx="1639200" cy="339600"/>
            <wp:effectExtent b="0" l="0" r="0" t="0"/>
            <wp:docPr descr="Relative tumor size and location by tumor type with maximum dimension of pre-operative MRI in vertical direction and second largest dimension in horizontal direction. Su = suprasellar space (including infundibulum). In = infundibular. Se = sellar space. " title="" id="1" name="Picture"/>
            <a:graphic>
              <a:graphicData uri="http://schemas.openxmlformats.org/drawingml/2006/picture">
                <pic:pic>
                  <pic:nvPicPr>
                    <pic:cNvPr descr="figures/Figure1TumorLocations/Figure1TumorLocation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00" cy="339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Relative tumor size and location by tumor type with maximum dimension of</w:t>
      </w:r>
      <w:r>
        <w:t xml:space="preserve"> </w:t>
      </w:r>
      <w:r>
        <w:t xml:space="preserve">pre-operative MRI in vertical direction and second largest dimension in</w:t>
      </w:r>
      <w:r>
        <w:t xml:space="preserve"> </w:t>
      </w:r>
      <w:r>
        <w:t xml:space="preserve">horizontal direction. Su = suprasellar space (including infundibulum).</w:t>
      </w:r>
      <w:r>
        <w:t xml:space="preserve"> </w:t>
      </w:r>
      <w:r>
        <w:t xml:space="preserve">In = infundibular. Se = sellar space.</w:t>
      </w:r>
      <w:r>
        <w:t xml:space="preserve"> 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7" w:name="operative-findings"/>
      <w:bookmarkEnd w:id="27"/>
      <w:r>
        <w:t xml:space="preserve">Operative Findings</w:t>
      </w:r>
    </w:p>
    <w:p>
      <w:pPr>
        <w:pStyle w:val="FirstParagraph"/>
      </w:pPr>
      <w:r>
        <w:t xml:space="preserve">Two major surgical approaches, trans-sphenoidal (either endoscopic or</w:t>
      </w:r>
      <w:r>
        <w:t xml:space="preserve"> </w:t>
      </w:r>
      <w:r>
        <w:t xml:space="preserve">microscopic) and Sylvian, were used to resect these tumors. The majority</w:t>
      </w:r>
      <w:r>
        <w:t xml:space="preserve"> </w:t>
      </w:r>
      <w:r>
        <w:t xml:space="preserve">of the tumors were resected with the microscopic technique (8/11), with</w:t>
      </w:r>
      <w:r>
        <w:t xml:space="preserve"> </w:t>
      </w:r>
      <w:r>
        <w:t xml:space="preserve">the PCTs (4/4) and SCOs (3/3) undergoing an exclusively microscopic</w:t>
      </w:r>
      <w:r>
        <w:t xml:space="preserve"> </w:t>
      </w:r>
      <w:r>
        <w:t xml:space="preserve">sphenoidal surgical approach. The Sylvian approach was only used on GCTs</w:t>
      </w:r>
      <w:r>
        <w:t xml:space="preserve"> </w:t>
      </w:r>
      <w:r>
        <w:t xml:space="preserve">(2/4), both of which were infundibular. On review of operative reports,</w:t>
      </w:r>
      <w:r>
        <w:t xml:space="preserve"> </w:t>
      </w:r>
      <w:r>
        <w:t xml:space="preserve">no procedure experienced more than 300 milliliters of blood loss. </w:t>
      </w:r>
    </w:p>
    <w:p>
      <w:pPr>
        <w:pStyle w:val="BodyText"/>
      </w:pPr>
      <w:r>
        <w:br w:type="textWrapping"/>
      </w:r>
    </w:p>
    <w:p>
      <w:pPr>
        <w:pStyle w:val="TableCaption"/>
      </w:pPr>
      <w:r>
        <w:t xml:space="preserve">Tumor locations, post-operative endocrine complications, vision</w:t>
      </w:r>
      <w:r>
        <w:t xml:space="preserve"> </w:t>
      </w:r>
      <w:r>
        <w:t xml:space="preserve">improvement, and size by surgical approach.</w:t>
      </w:r>
      <w:r>
        <w:t xml:space="preserve"> </w:t>
      </w:r>
    </w:p>
    <w:tbl>
      <w:tblPr>
        <w:tblStyle w:val="TableNormal"/>
        <w:tblW w:type="pct" w:w="0.0"/>
        <w:tblLook/>
        <w:tblCaption w:val="Tumor locations, post-operative endocrine complications, vision improvement, and size by surgical approach. "/>
      </w:tblPr>
      <w:tblGrid/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[ALL] N=11</w:t>
            </w:r>
          </w:p>
        </w:tc>
        <w:tc>
          <w:p>
            <w:pPr>
              <w:pStyle w:val="Compact"/>
              <w:jc w:val="center"/>
            </w:pPr>
            <w:r>
              <w:t xml:space="preserve">Endoscopic N=1</w:t>
            </w:r>
          </w:p>
        </w:tc>
        <w:tc>
          <w:p>
            <w:pPr>
              <w:pStyle w:val="Compact"/>
              <w:jc w:val="center"/>
            </w:pPr>
            <w:r>
              <w:t xml:space="preserve">Microscopic N=8</w:t>
            </w:r>
          </w:p>
        </w:tc>
        <w:tc>
          <w:p>
            <w:pPr>
              <w:pStyle w:val="Compact"/>
              <w:jc w:val="center"/>
            </w:pPr>
            <w:r>
              <w:t xml:space="preserve">Sylvian N=2</w:t>
            </w:r>
          </w:p>
        </w:tc>
        <w:tc>
          <w:p>
            <w:pPr>
              <w:pStyle w:val="Compact"/>
              <w:jc w:val="center"/>
            </w:pPr>
            <w:r>
              <w:t xml:space="preserve">P value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Sellar</w:t>
            </w:r>
          </w:p>
        </w:tc>
        <w:tc>
          <w:p>
            <w:pPr>
              <w:pStyle w:val="Compact"/>
              <w:jc w:val="center"/>
            </w:pPr>
            <w:r>
              <w:t xml:space="preserve">7 (63.6%)</w:t>
            </w:r>
          </w:p>
        </w:tc>
        <w:tc>
          <w:p>
            <w:pPr>
              <w:pStyle w:val="Compact"/>
              <w:jc w:val="center"/>
            </w:pPr>
            <w:r>
              <w:t xml:space="preserve">0 (0.0%)</w:t>
            </w:r>
          </w:p>
        </w:tc>
        <w:tc>
          <w:p>
            <w:pPr>
              <w:pStyle w:val="Compact"/>
              <w:jc w:val="center"/>
            </w:pPr>
            <w:r>
              <w:t xml:space="preserve">7 (87.5%)</w:t>
            </w:r>
          </w:p>
        </w:tc>
        <w:tc>
          <w:p>
            <w:pPr>
              <w:pStyle w:val="Compact"/>
              <w:jc w:val="center"/>
            </w:pPr>
            <w:r>
              <w:t xml:space="preserve">0 (0.0%)</w:t>
            </w:r>
          </w:p>
        </w:tc>
        <w:tc>
          <w:p>
            <w:pPr>
              <w:pStyle w:val="Compact"/>
              <w:jc w:val="center"/>
            </w:pPr>
            <w:r>
              <w:t xml:space="preserve">0.02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Suprasellar</w:t>
            </w:r>
          </w:p>
        </w:tc>
        <w:tc>
          <w:p>
            <w:pPr>
              <w:pStyle w:val="Compact"/>
              <w:jc w:val="center"/>
            </w:pPr>
            <w:r>
              <w:t xml:space="preserve">6 (54.5%)</w:t>
            </w:r>
          </w:p>
        </w:tc>
        <w:tc>
          <w:p>
            <w:pPr>
              <w:pStyle w:val="Compact"/>
              <w:jc w:val="center"/>
            </w:pPr>
            <w:r>
              <w:t xml:space="preserve">0 (0.0%)</w:t>
            </w:r>
          </w:p>
        </w:tc>
        <w:tc>
          <w:p>
            <w:pPr>
              <w:pStyle w:val="Compact"/>
              <w:jc w:val="center"/>
            </w:pPr>
            <w:r>
              <w:t xml:space="preserve">5 (62.5%)</w:t>
            </w:r>
          </w:p>
        </w:tc>
        <w:tc>
          <w:p>
            <w:pPr>
              <w:pStyle w:val="Compact"/>
              <w:jc w:val="center"/>
            </w:pPr>
            <w:r>
              <w:t xml:space="preserve">1 (50.0%)</w:t>
            </w:r>
          </w:p>
        </w:tc>
        <w:tc>
          <w:p>
            <w:pPr>
              <w:pStyle w:val="Compact"/>
              <w:jc w:val="center"/>
            </w:pPr>
            <w:r>
              <w:t xml:space="preserve">0.7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Suprasellar + Infundibulum</w:t>
            </w:r>
          </w:p>
        </w:tc>
        <w:tc>
          <w:p>
            <w:pPr>
              <w:pStyle w:val="Compact"/>
              <w:jc w:val="center"/>
            </w:pPr>
            <w:r>
              <w:t xml:space="preserve">9 (81.8%)</w:t>
            </w:r>
          </w:p>
        </w:tc>
        <w:tc>
          <w:p>
            <w:pPr>
              <w:pStyle w:val="Compact"/>
              <w:jc w:val="center"/>
            </w:pPr>
            <w:r>
              <w:t xml:space="preserve">1 (100%)</w:t>
            </w:r>
          </w:p>
        </w:tc>
        <w:tc>
          <w:p>
            <w:pPr>
              <w:pStyle w:val="Compact"/>
              <w:jc w:val="center"/>
            </w:pPr>
            <w:r>
              <w:t xml:space="preserve">6 (75.0%)</w:t>
            </w:r>
          </w:p>
        </w:tc>
        <w:tc>
          <w:p>
            <w:pPr>
              <w:pStyle w:val="Compact"/>
              <w:jc w:val="center"/>
            </w:pPr>
            <w:r>
              <w:t xml:space="preserve">2 (100%)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Infundibulum</w:t>
            </w:r>
          </w:p>
        </w:tc>
        <w:tc>
          <w:p>
            <w:pPr>
              <w:pStyle w:val="Compact"/>
              <w:jc w:val="center"/>
            </w:pPr>
            <w:r>
              <w:t xml:space="preserve">3 (27.3%)</w:t>
            </w:r>
          </w:p>
        </w:tc>
        <w:tc>
          <w:p>
            <w:pPr>
              <w:pStyle w:val="Compact"/>
              <w:jc w:val="center"/>
            </w:pPr>
            <w:r>
              <w:t xml:space="preserve">1 (100%)</w:t>
            </w:r>
          </w:p>
        </w:tc>
        <w:tc>
          <w:p>
            <w:pPr>
              <w:pStyle w:val="Compact"/>
              <w:jc w:val="center"/>
            </w:pPr>
            <w:r>
              <w:t xml:space="preserve">1 (12.5%)</w:t>
            </w:r>
          </w:p>
        </w:tc>
        <w:tc>
          <w:p>
            <w:pPr>
              <w:pStyle w:val="Compact"/>
              <w:jc w:val="center"/>
            </w:pPr>
            <w:r>
              <w:t xml:space="preserve">1 (50.0%)</w:t>
            </w:r>
          </w:p>
        </w:tc>
        <w:tc>
          <w:p>
            <w:pPr>
              <w:pStyle w:val="Compact"/>
              <w:jc w:val="center"/>
            </w:pPr>
            <w:r>
              <w:t xml:space="preserve">0.15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Infundibulum only</w:t>
            </w:r>
          </w:p>
        </w:tc>
        <w:tc>
          <w:p>
            <w:pPr>
              <w:pStyle w:val="Compact"/>
              <w:jc w:val="center"/>
            </w:pPr>
            <w:r>
              <w:t xml:space="preserve">2 (18.2%)</w:t>
            </w:r>
          </w:p>
        </w:tc>
        <w:tc>
          <w:p>
            <w:pPr>
              <w:pStyle w:val="Compact"/>
              <w:jc w:val="center"/>
            </w:pPr>
            <w:r>
              <w:t xml:space="preserve">1 (100%)</w:t>
            </w:r>
          </w:p>
        </w:tc>
        <w:tc>
          <w:p>
            <w:pPr>
              <w:pStyle w:val="Compact"/>
              <w:jc w:val="center"/>
            </w:pPr>
            <w:r>
              <w:t xml:space="preserve">0 (0.0%)</w:t>
            </w:r>
          </w:p>
        </w:tc>
        <w:tc>
          <w:p>
            <w:pPr>
              <w:pStyle w:val="Compact"/>
              <w:jc w:val="center"/>
            </w:pPr>
            <w:r>
              <w:t xml:space="preserve">1 (50.0%)</w:t>
            </w:r>
          </w:p>
        </w:tc>
        <w:tc>
          <w:p>
            <w:pPr>
              <w:pStyle w:val="Compact"/>
              <w:jc w:val="center"/>
            </w:pPr>
            <w:r>
              <w:t xml:space="preserve">0.06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Endocrine complication</w:t>
            </w:r>
          </w:p>
        </w:tc>
        <w:tc>
          <w:p>
            <w:pPr>
              <w:pStyle w:val="Compact"/>
              <w:jc w:val="center"/>
            </w:pPr>
            <w:r>
              <w:t xml:space="preserve">6 (54.5%)</w:t>
            </w:r>
          </w:p>
        </w:tc>
        <w:tc>
          <w:p>
            <w:pPr>
              <w:pStyle w:val="Compact"/>
              <w:jc w:val="center"/>
            </w:pPr>
            <w:r>
              <w:t xml:space="preserve">1 (100%)</w:t>
            </w:r>
          </w:p>
        </w:tc>
        <w:tc>
          <w:p>
            <w:pPr>
              <w:pStyle w:val="Compact"/>
              <w:jc w:val="center"/>
            </w:pPr>
            <w:r>
              <w:t xml:space="preserve">3 (37.5%)</w:t>
            </w:r>
          </w:p>
        </w:tc>
        <w:tc>
          <w:p>
            <w:pPr>
              <w:pStyle w:val="Compact"/>
              <w:jc w:val="center"/>
            </w:pPr>
            <w:r>
              <w:t xml:space="preserve">2 (100%)</w:t>
            </w:r>
          </w:p>
        </w:tc>
        <w:tc>
          <w:p>
            <w:pPr>
              <w:pStyle w:val="Compact"/>
              <w:jc w:val="center"/>
            </w:pPr>
            <w:r>
              <w:t xml:space="preserve">0.3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Vision improved</w:t>
            </w:r>
          </w:p>
        </w:tc>
        <w:tc>
          <w:p>
            <w:pPr>
              <w:pStyle w:val="Compact"/>
              <w:jc w:val="center"/>
            </w:pPr>
            <w:r>
              <w:t xml:space="preserve">4 (36.4%)</w:t>
            </w:r>
          </w:p>
        </w:tc>
        <w:tc>
          <w:p>
            <w:pPr>
              <w:pStyle w:val="Compact"/>
              <w:jc w:val="center"/>
            </w:pPr>
            <w:r>
              <w:t xml:space="preserve">0 (0.0%)</w:t>
            </w:r>
          </w:p>
        </w:tc>
        <w:tc>
          <w:p>
            <w:pPr>
              <w:pStyle w:val="Compact"/>
              <w:jc w:val="center"/>
            </w:pPr>
            <w:r>
              <w:t xml:space="preserve">2 (25.0%)</w:t>
            </w:r>
          </w:p>
        </w:tc>
        <w:tc>
          <w:p>
            <w:pPr>
              <w:pStyle w:val="Compact"/>
              <w:jc w:val="center"/>
            </w:pPr>
            <w:r>
              <w:t xml:space="preserve">2 (100%)</w:t>
            </w:r>
          </w:p>
        </w:tc>
        <w:tc>
          <w:p>
            <w:pPr>
              <w:pStyle w:val="Compact"/>
              <w:jc w:val="center"/>
            </w:pPr>
            <w:r>
              <w:t xml:space="preserve">0.11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Size</w:t>
            </w:r>
          </w:p>
        </w:tc>
        <w:tc>
          <w:p>
            <w:pPr>
              <w:pStyle w:val="Compact"/>
              <w:jc w:val="center"/>
            </w:pPr>
            <w:r>
              <w:t xml:space="preserve">1.93 (0.72)</w:t>
            </w:r>
          </w:p>
        </w:tc>
        <w:tc>
          <w:p>
            <w:pPr>
              <w:pStyle w:val="Compact"/>
              <w:jc w:val="center"/>
            </w:pPr>
            <w:r>
              <w:t xml:space="preserve">0.9 (.)</w:t>
            </w:r>
          </w:p>
        </w:tc>
        <w:tc>
          <w:p>
            <w:pPr>
              <w:pStyle w:val="Compact"/>
              <w:jc w:val="center"/>
            </w:pPr>
            <w:r>
              <w:t xml:space="preserve">2.14 (0.63)</w:t>
            </w:r>
          </w:p>
        </w:tc>
        <w:tc>
          <w:p>
            <w:pPr>
              <w:pStyle w:val="Compact"/>
              <w:jc w:val="center"/>
            </w:pPr>
            <w:r>
              <w:t xml:space="preserve">1.6 (0.85)</w:t>
            </w:r>
          </w:p>
        </w:tc>
        <w:tc>
          <w:p>
            <w:pPr>
              <w:pStyle w:val="Compact"/>
              <w:jc w:val="center"/>
            </w:pPr>
            <w:r>
              <w:t xml:space="preserve">0.22</w:t>
            </w:r>
          </w:p>
        </w:tc>
      </w:tr>
    </w:tbl>
    <w:p>
      <w:pPr>
        <w:pStyle w:val="BodyText"/>
      </w:pPr>
      <w:r>
        <w:t xml:space="preserve">Intraoperative findings showed that most of the tumors had a soft</w:t>
      </w:r>
      <w:r>
        <w:t xml:space="preserve"> </w:t>
      </w:r>
      <w:r>
        <w:t xml:space="preserve">consistency (7/11; Table 4), including all of the SCOs (3/3). These</w:t>
      </w:r>
      <w:r>
        <w:t xml:space="preserve"> </w:t>
      </w:r>
      <w:r>
        <w:t xml:space="preserve">tumors presented in different colors, with a majority appearing gray</w:t>
      </w:r>
      <w:r>
        <w:t xml:space="preserve"> </w:t>
      </w:r>
      <w:r>
        <w:t xml:space="preserve">(7/11), and the rest appearing purple (2/11), tan (1/11), or white</w:t>
      </w:r>
      <w:r>
        <w:t xml:space="preserve"> </w:t>
      </w:r>
      <w:r>
        <w:t xml:space="preserve">(1/11). Regarding specific tumors, we found that the SCOs (3/3) were all</w:t>
      </w:r>
      <w:r>
        <w:t xml:space="preserve"> </w:t>
      </w:r>
      <w:r>
        <w:t xml:space="preserve">gray. The extent of resection for each of these tumors was determined</w:t>
      </w:r>
      <w:r>
        <w:t xml:space="preserve"> </w:t>
      </w:r>
      <w:r>
        <w:t xml:space="preserve">using corroboration between operative reports and post-operative MRI,</w:t>
      </w:r>
      <w:r>
        <w:t xml:space="preserve"> </w:t>
      </w:r>
      <w:r>
        <w:t xml:space="preserve">which demonstrated gross total resection in all cases. Follow-up for the</w:t>
      </w:r>
      <w:r>
        <w:t xml:space="preserve"> </w:t>
      </w:r>
      <w:r>
        <w:t xml:space="preserve">eleven cases was 4.72 ± 3.65 years with no patients with recurrence.</w:t>
      </w:r>
      <w:r>
        <w:t xml:space="preserve"> </w:t>
      </w:r>
      <w:r>
        <w:t xml:space="preserve">Post-operatively four patients with pre-operative visual symptoms had</w:t>
      </w:r>
      <w:r>
        <w:t xml:space="preserve"> </w:t>
      </w:r>
      <w:r>
        <w:t xml:space="preserve">visual improvement while six patients had temporary or long-term</w:t>
      </w:r>
      <w:r>
        <w:t xml:space="preserve"> </w:t>
      </w:r>
      <w:r>
        <w:t xml:space="preserve">worsening of an endocrine complication.</w:t>
      </w:r>
    </w:p>
    <w:p>
      <w:pPr>
        <w:pStyle w:val="TableCaption"/>
      </w:pPr>
      <w:r>
        <w:t xml:space="preserve">Extent of resection, outcomes, and intraoperative characteristics by</w:t>
      </w:r>
      <w:r>
        <w:t xml:space="preserve"> </w:t>
      </w:r>
      <w:r>
        <w:t xml:space="preserve">tumor type. </w:t>
      </w:r>
      <w:r>
        <w:t xml:space="preserve"> </w:t>
      </w:r>
    </w:p>
    <w:tbl>
      <w:tblPr>
        <w:tblStyle w:val="TableNormal"/>
        <w:tblW w:type="pct" w:w="0.0"/>
        <w:tblLook/>
        <w:tblCaption w:val="Extent of resection, outcomes, and intraoperative characteristics by tumor type.  "/>
      </w:tblPr>
      <w:tblGrid/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[ALL] N=11</w:t>
            </w:r>
          </w:p>
        </w:tc>
        <w:tc>
          <w:p>
            <w:pPr>
              <w:pStyle w:val="Compact"/>
              <w:jc w:val="center"/>
            </w:pPr>
            <w:r>
              <w:t xml:space="preserve">GCT N=4</w:t>
            </w:r>
          </w:p>
        </w:tc>
        <w:tc>
          <w:p>
            <w:pPr>
              <w:pStyle w:val="Compact"/>
              <w:jc w:val="center"/>
            </w:pPr>
            <w:r>
              <w:t xml:space="preserve">PCT N=4</w:t>
            </w:r>
          </w:p>
        </w:tc>
        <w:tc>
          <w:p>
            <w:pPr>
              <w:pStyle w:val="Compact"/>
              <w:jc w:val="center"/>
            </w:pPr>
            <w:r>
              <w:t xml:space="preserve">SCO N=3</w:t>
            </w:r>
          </w:p>
        </w:tc>
        <w:tc>
          <w:p>
            <w:pPr>
              <w:pStyle w:val="Compact"/>
              <w:jc w:val="center"/>
            </w:pPr>
            <w:r>
              <w:t xml:space="preserve">P value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Gross total resection</w:t>
            </w:r>
          </w:p>
        </w:tc>
        <w:tc>
          <w:p>
            <w:pPr>
              <w:pStyle w:val="Compact"/>
              <w:jc w:val="center"/>
            </w:pPr>
            <w:r>
              <w:t xml:space="preserve">11 (100%)</w:t>
            </w:r>
          </w:p>
        </w:tc>
        <w:tc>
          <w:p>
            <w:pPr>
              <w:pStyle w:val="Compact"/>
              <w:jc w:val="center"/>
            </w:pPr>
            <w:r>
              <w:t xml:space="preserve">4 (100%)</w:t>
            </w:r>
          </w:p>
        </w:tc>
        <w:tc>
          <w:p>
            <w:pPr>
              <w:pStyle w:val="Compact"/>
              <w:jc w:val="center"/>
            </w:pPr>
            <w:r>
              <w:t xml:space="preserve">4 (100%)</w:t>
            </w:r>
          </w:p>
        </w:tc>
        <w:tc>
          <w:p>
            <w:pPr>
              <w:pStyle w:val="Compact"/>
              <w:jc w:val="center"/>
            </w:pPr>
            <w:r>
              <w:t xml:space="preserve">3 (100%)</w:t>
            </w:r>
          </w:p>
        </w:tc>
        <w:tc>
          <w:p>
            <w:pPr>
              <w:pStyle w:val="Compact"/>
              <w:jc w:val="center"/>
            </w:pPr>
            <w:r>
              <w:t xml:space="preserve">.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Endocrine complication</w:t>
            </w:r>
          </w:p>
        </w:tc>
        <w:tc>
          <w:p>
            <w:pPr>
              <w:pStyle w:val="Compact"/>
              <w:jc w:val="center"/>
            </w:pPr>
            <w:r>
              <w:t xml:space="preserve">6 (54.5%)</w:t>
            </w:r>
          </w:p>
        </w:tc>
        <w:tc>
          <w:p>
            <w:pPr>
              <w:pStyle w:val="Compact"/>
              <w:jc w:val="center"/>
            </w:pPr>
            <w:r>
              <w:t xml:space="preserve">4 (100%)</w:t>
            </w:r>
          </w:p>
        </w:tc>
        <w:tc>
          <w:p>
            <w:pPr>
              <w:pStyle w:val="Compact"/>
              <w:jc w:val="center"/>
            </w:pPr>
            <w:r>
              <w:t xml:space="preserve">2 (50.0%)</w:t>
            </w:r>
          </w:p>
        </w:tc>
        <w:tc>
          <w:p>
            <w:pPr>
              <w:pStyle w:val="Compact"/>
              <w:jc w:val="center"/>
            </w:pPr>
            <w:r>
              <w:t xml:space="preserve">0 (0.0%)</w:t>
            </w:r>
          </w:p>
        </w:tc>
        <w:tc>
          <w:p>
            <w:pPr>
              <w:pStyle w:val="Compact"/>
              <w:jc w:val="center"/>
            </w:pPr>
            <w:r>
              <w:t xml:space="preserve">0.06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Vision improved</w:t>
            </w:r>
          </w:p>
        </w:tc>
        <w:tc>
          <w:p>
            <w:pPr>
              <w:pStyle w:val="Compact"/>
              <w:jc w:val="center"/>
            </w:pPr>
            <w:r>
              <w:t xml:space="preserve">4 (36.4%)</w:t>
            </w:r>
          </w:p>
        </w:tc>
        <w:tc>
          <w:p>
            <w:pPr>
              <w:pStyle w:val="Compact"/>
              <w:jc w:val="center"/>
            </w:pPr>
            <w:r>
              <w:t xml:space="preserve">2 (50.0%)</w:t>
            </w:r>
          </w:p>
        </w:tc>
        <w:tc>
          <w:p>
            <w:pPr>
              <w:pStyle w:val="Compact"/>
              <w:jc w:val="center"/>
            </w:pPr>
            <w:r>
              <w:t xml:space="preserve">2 (50.0%)</w:t>
            </w:r>
          </w:p>
        </w:tc>
        <w:tc>
          <w:p>
            <w:pPr>
              <w:pStyle w:val="Compact"/>
              <w:jc w:val="center"/>
            </w:pPr>
            <w:r>
              <w:t xml:space="preserve">0 (0.0%)</w:t>
            </w:r>
          </w:p>
        </w:tc>
        <w:tc>
          <w:p>
            <w:pPr>
              <w:pStyle w:val="Compact"/>
              <w:jc w:val="center"/>
            </w:pPr>
            <w:r>
              <w:t xml:space="preserve">0.42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Follow up, mean (SD) years</w:t>
            </w:r>
          </w:p>
        </w:tc>
        <w:tc>
          <w:p>
            <w:pPr>
              <w:pStyle w:val="Compact"/>
              <w:jc w:val="center"/>
            </w:pPr>
            <w:r>
              <w:t xml:space="preserve">4.72 (3.65)</w:t>
            </w:r>
          </w:p>
        </w:tc>
        <w:tc>
          <w:p>
            <w:pPr>
              <w:pStyle w:val="Compact"/>
              <w:jc w:val="center"/>
            </w:pPr>
            <w:r>
              <w:t xml:space="preserve">5.61 (4.89)</w:t>
            </w:r>
          </w:p>
        </w:tc>
        <w:tc>
          <w:p>
            <w:pPr>
              <w:pStyle w:val="Compact"/>
              <w:jc w:val="center"/>
            </w:pPr>
            <w:r>
              <w:t xml:space="preserve">5.13 (3.8)</w:t>
            </w:r>
          </w:p>
        </w:tc>
        <w:tc>
          <w:p>
            <w:pPr>
              <w:pStyle w:val="Compact"/>
              <w:jc w:val="center"/>
            </w:pPr>
            <w:r>
              <w:t xml:space="preserve">3.0 (1.7)</w:t>
            </w:r>
          </w:p>
        </w:tc>
        <w:tc>
          <w:p>
            <w:pPr>
              <w:pStyle w:val="Compact"/>
              <w:jc w:val="center"/>
            </w:pPr>
            <w:r>
              <w:t xml:space="preserve">0.67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Recurrence</w:t>
            </w:r>
          </w:p>
        </w:tc>
        <w:tc>
          <w:p>
            <w:pPr>
              <w:pStyle w:val="Compact"/>
              <w:jc w:val="center"/>
            </w:pPr>
            <w:r>
              <w:t xml:space="preserve">0 (0%)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.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Consistency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0.42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Firm</w:t>
            </w:r>
          </w:p>
        </w:tc>
        <w:tc>
          <w:p>
            <w:pPr>
              <w:pStyle w:val="Compact"/>
              <w:jc w:val="center"/>
            </w:pPr>
            <w:r>
              <w:t xml:space="preserve">4 (36.4%)</w:t>
            </w:r>
          </w:p>
        </w:tc>
        <w:tc>
          <w:p>
            <w:pPr>
              <w:pStyle w:val="Compact"/>
              <w:jc w:val="center"/>
            </w:pPr>
            <w:r>
              <w:t xml:space="preserve">2 (50.0%)</w:t>
            </w:r>
          </w:p>
        </w:tc>
        <w:tc>
          <w:p>
            <w:pPr>
              <w:pStyle w:val="Compact"/>
              <w:jc w:val="center"/>
            </w:pPr>
            <w:r>
              <w:t xml:space="preserve">2 (50.0%)</w:t>
            </w:r>
          </w:p>
        </w:tc>
        <w:tc>
          <w:p>
            <w:pPr>
              <w:pStyle w:val="Compact"/>
              <w:jc w:val="center"/>
            </w:pPr>
            <w:r>
              <w:t xml:space="preserve">0 (0.0%)</w:t>
            </w: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center"/>
            </w:pPr>
            <w:r>
              <w:t xml:space="preserve">Soft</w:t>
            </w:r>
          </w:p>
        </w:tc>
        <w:tc>
          <w:p>
            <w:pPr>
              <w:pStyle w:val="Compact"/>
              <w:jc w:val="center"/>
            </w:pPr>
            <w:r>
              <w:t xml:space="preserve">7 (63.6%)</w:t>
            </w:r>
          </w:p>
        </w:tc>
        <w:tc>
          <w:p>
            <w:pPr>
              <w:pStyle w:val="Compact"/>
              <w:jc w:val="center"/>
            </w:pPr>
            <w:r>
              <w:t xml:space="preserve">2 (50.0%)</w:t>
            </w:r>
          </w:p>
        </w:tc>
        <w:tc>
          <w:p>
            <w:pPr>
              <w:pStyle w:val="Compact"/>
              <w:jc w:val="center"/>
            </w:pPr>
            <w:r>
              <w:t xml:space="preserve">2 (50.0%)</w:t>
            </w:r>
          </w:p>
        </w:tc>
        <w:tc>
          <w:p>
            <w:pPr>
              <w:pStyle w:val="Compact"/>
              <w:jc w:val="center"/>
            </w:pPr>
            <w:r>
              <w:t xml:space="preserve">3 (100%)</w:t>
            </w: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center"/>
            </w:pPr>
            <w:r>
              <w:t xml:space="preserve">Color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0.39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Gray</w:t>
            </w:r>
          </w:p>
        </w:tc>
        <w:tc>
          <w:p>
            <w:pPr>
              <w:pStyle w:val="Compact"/>
              <w:jc w:val="center"/>
            </w:pPr>
            <w:r>
              <w:t xml:space="preserve">7 (63.6%)</w:t>
            </w:r>
          </w:p>
        </w:tc>
        <w:tc>
          <w:p>
            <w:pPr>
              <w:pStyle w:val="Compact"/>
              <w:jc w:val="center"/>
            </w:pPr>
            <w:r>
              <w:t xml:space="preserve">2 (50.0%)</w:t>
            </w:r>
          </w:p>
        </w:tc>
        <w:tc>
          <w:p>
            <w:pPr>
              <w:pStyle w:val="Compact"/>
              <w:jc w:val="center"/>
            </w:pPr>
            <w:r>
              <w:t xml:space="preserve">2 (50.0%)</w:t>
            </w:r>
          </w:p>
        </w:tc>
        <w:tc>
          <w:p>
            <w:pPr>
              <w:pStyle w:val="Compact"/>
              <w:jc w:val="center"/>
            </w:pPr>
            <w:r>
              <w:t xml:space="preserve">3 (100%)</w:t>
            </w: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center"/>
            </w:pPr>
            <w:r>
              <w:t xml:space="preserve">Purple</w:t>
            </w:r>
          </w:p>
        </w:tc>
        <w:tc>
          <w:p>
            <w:pPr>
              <w:pStyle w:val="Compact"/>
              <w:jc w:val="center"/>
            </w:pPr>
            <w:r>
              <w:t xml:space="preserve">2 (18.2%)</w:t>
            </w:r>
          </w:p>
        </w:tc>
        <w:tc>
          <w:p>
            <w:pPr>
              <w:pStyle w:val="Compact"/>
              <w:jc w:val="center"/>
            </w:pPr>
            <w:r>
              <w:t xml:space="preserve">0 (0.0%)</w:t>
            </w:r>
          </w:p>
        </w:tc>
        <w:tc>
          <w:p>
            <w:pPr>
              <w:pStyle w:val="Compact"/>
              <w:jc w:val="center"/>
            </w:pPr>
            <w:r>
              <w:t xml:space="preserve">2 (50.0%)</w:t>
            </w:r>
          </w:p>
        </w:tc>
        <w:tc>
          <w:p>
            <w:pPr>
              <w:pStyle w:val="Compact"/>
              <w:jc w:val="center"/>
            </w:pPr>
            <w:r>
              <w:t xml:space="preserve">0 (0.0%)</w:t>
            </w: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center"/>
            </w:pPr>
            <w:r>
              <w:t xml:space="preserve">Tan</w:t>
            </w:r>
          </w:p>
        </w:tc>
        <w:tc>
          <w:p>
            <w:pPr>
              <w:pStyle w:val="Compact"/>
              <w:jc w:val="center"/>
            </w:pPr>
            <w:r>
              <w:t xml:space="preserve">1 (9.09%)</w:t>
            </w:r>
          </w:p>
        </w:tc>
        <w:tc>
          <w:p>
            <w:pPr>
              <w:pStyle w:val="Compact"/>
              <w:jc w:val="center"/>
            </w:pPr>
            <w:r>
              <w:t xml:space="preserve">1 (25.0%)</w:t>
            </w:r>
          </w:p>
        </w:tc>
        <w:tc>
          <w:p>
            <w:pPr>
              <w:pStyle w:val="Compact"/>
              <w:jc w:val="center"/>
            </w:pPr>
            <w:r>
              <w:t xml:space="preserve">0 (0.0%)</w:t>
            </w:r>
          </w:p>
        </w:tc>
        <w:tc>
          <w:p>
            <w:pPr>
              <w:pStyle w:val="Compact"/>
              <w:jc w:val="center"/>
            </w:pPr>
            <w:r>
              <w:t xml:space="preserve">0 (0.0%)</w:t>
            </w: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center"/>
            </w:pPr>
            <w:r>
              <w:t xml:space="preserve">White</w:t>
            </w:r>
          </w:p>
        </w:tc>
        <w:tc>
          <w:p>
            <w:pPr>
              <w:pStyle w:val="Compact"/>
              <w:jc w:val="center"/>
            </w:pPr>
            <w:r>
              <w:t xml:space="preserve">1 (9.09%)</w:t>
            </w:r>
          </w:p>
        </w:tc>
        <w:tc>
          <w:p>
            <w:pPr>
              <w:pStyle w:val="Compact"/>
              <w:jc w:val="center"/>
            </w:pPr>
            <w:r>
              <w:t xml:space="preserve">1 (25.0%)</w:t>
            </w:r>
          </w:p>
        </w:tc>
        <w:tc>
          <w:p>
            <w:pPr>
              <w:pStyle w:val="Compact"/>
              <w:jc w:val="center"/>
            </w:pPr>
            <w:r>
              <w:t xml:space="preserve">0 (0.0%)</w:t>
            </w:r>
          </w:p>
        </w:tc>
        <w:tc>
          <w:p>
            <w:pPr>
              <w:pStyle w:val="Compact"/>
              <w:jc w:val="center"/>
            </w:pPr>
            <w:r>
              <w:t xml:space="preserve">0 (0.0%)</w:t>
            </w:r>
          </w:p>
        </w:tc>
        <w:tc>
          <w:p>
            <w:pPr>
              <w:pStyle w:val="Compact"/>
            </w:pPr>
          </w:p>
        </w:tc>
      </w:tr>
    </w:tbl>
    <w:p>
      <w:pPr>
        <w:pStyle w:val="Heading2"/>
      </w:pPr>
      <w:bookmarkStart w:id="28" w:name="histochemistry"/>
      <w:bookmarkEnd w:id="28"/>
      <w:r>
        <w:t xml:space="preserve">Histochemistry</w:t>
      </w:r>
    </w:p>
    <w:p>
      <w:pPr>
        <w:pStyle w:val="FirstParagraph"/>
      </w:pPr>
      <w:r>
        <w:t xml:space="preserve">Results for our immunohistochemistry are summarized in Table 5. In our</w:t>
      </w:r>
      <w:r>
        <w:t xml:space="preserve"> </w:t>
      </w:r>
      <w:r>
        <w:t xml:space="preserve">eleven tumor cases, we found conflicting results from what has been</w:t>
      </w:r>
      <w:r>
        <w:t xml:space="preserve"> </w:t>
      </w:r>
      <w:r>
        <w:t xml:space="preserve">published in previous literature. Although the literature describes PCTs</w:t>
      </w:r>
      <w:r>
        <w:t xml:space="preserve"> </w:t>
      </w:r>
      <w:r>
        <w:t xml:space="preserve">as generally positive for GFAP staining</w:t>
      </w:r>
      <w:r>
        <w:rPr>
          <w:vertAlign w:val="superscript"/>
        </w:rPr>
        <w:t xml:space="preserve">8</w:t>
      </w:r>
      <w:r>
        <w:t xml:space="preserve">, we found</w:t>
      </w:r>
      <w:r>
        <w:t xml:space="preserve"> </w:t>
      </w:r>
      <w:r>
        <w:t xml:space="preserve">that three of the four cases tested for GFAP staining had all reacted</w:t>
      </w:r>
      <w:r>
        <w:t xml:space="preserve"> </w:t>
      </w:r>
      <w:r>
        <w:t xml:space="preserve">negatively. Moreover, EMA staining showed mixed results in GCTs and</w:t>
      </w:r>
      <w:r>
        <w:t xml:space="preserve"> </w:t>
      </w:r>
      <w:r>
        <w:t xml:space="preserve">PCTs, whereas all three SCOs cases reacted positively, which has been</w:t>
      </w:r>
      <w:r>
        <w:t xml:space="preserve"> </w:t>
      </w:r>
      <w:r>
        <w:t xml:space="preserve">shown in the literature</w:t>
      </w:r>
      <w:r>
        <w:rPr>
          <w:vertAlign w:val="superscript"/>
        </w:rPr>
        <w:t xml:space="preserve">9</w:t>
      </w:r>
      <w:r>
        <w:t xml:space="preserve">. When testing S100</w:t>
      </w:r>
      <w:r>
        <w:t xml:space="preserve"> </w:t>
      </w:r>
      <w:r>
        <w:t xml:space="preserve">reactivity, we found that all of the tumors tested (8/8) stained</w:t>
      </w:r>
      <w:r>
        <w:t xml:space="preserve"> </w:t>
      </w:r>
      <w:r>
        <w:t xml:space="preserve">positively, which was shown to be positive in</w:t>
      </w:r>
      <w:r>
        <w:t xml:space="preserve"> </w:t>
      </w:r>
      <w:r>
        <w:t xml:space="preserve">PCTs</w:t>
      </w:r>
      <w:r>
        <w:rPr>
          <w:vertAlign w:val="superscript"/>
        </w:rPr>
        <w:t xml:space="preserve">9,10</w:t>
      </w:r>
      <w:r>
        <w:t xml:space="preserve">, but showed both positive and negative</w:t>
      </w:r>
      <w:r>
        <w:t xml:space="preserve"> </w:t>
      </w:r>
      <w:r>
        <w:t xml:space="preserve">results in SCOs</w:t>
      </w:r>
      <w:r>
        <w:rPr>
          <w:vertAlign w:val="superscript"/>
        </w:rPr>
        <w:t xml:space="preserve">9,10</w:t>
      </w:r>
      <w:r>
        <w:t xml:space="preserve">. All eleven of the masses,</w:t>
      </w:r>
      <w:r>
        <w:t xml:space="preserve"> </w:t>
      </w:r>
      <w:r>
        <w:t xml:space="preserve">including the three SCO cases, had positive staining for TTF-1.</w:t>
      </w:r>
    </w:p>
    <w:p>
      <w:pPr>
        <w:pStyle w:val="TableCaption"/>
      </w:pPr>
      <w:r>
        <w:t xml:space="preserve">Immunohistologic staining by tumor type. nd = not done.</w:t>
      </w:r>
      <w:r>
        <w:t xml:space="preserve"> </w:t>
      </w:r>
    </w:p>
    <w:tbl>
      <w:tblPr>
        <w:tblStyle w:val="TableNormal"/>
        <w:tblW w:type="pct" w:w="0.0"/>
        <w:tblLook/>
        <w:tblCaption w:val="Immunohistologic staining by tumor type. nd = not done. "/>
      </w:tblPr>
      <w:tblGrid/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[ALL] N=11</w:t>
            </w:r>
          </w:p>
        </w:tc>
        <w:tc>
          <w:p>
            <w:pPr>
              <w:pStyle w:val="Compact"/>
              <w:jc w:val="center"/>
            </w:pPr>
            <w:r>
              <w:t xml:space="preserve">GCT N=4</w:t>
            </w:r>
          </w:p>
        </w:tc>
        <w:tc>
          <w:p>
            <w:pPr>
              <w:pStyle w:val="Compact"/>
              <w:jc w:val="center"/>
            </w:pPr>
            <w:r>
              <w:t xml:space="preserve">PCT N=4</w:t>
            </w:r>
          </w:p>
        </w:tc>
        <w:tc>
          <w:p>
            <w:pPr>
              <w:pStyle w:val="Compact"/>
              <w:jc w:val="center"/>
            </w:pPr>
            <w:r>
              <w:t xml:space="preserve">SCO N=3</w:t>
            </w:r>
          </w:p>
        </w:tc>
        <w:tc>
          <w:p>
            <w:pPr>
              <w:pStyle w:val="Compact"/>
              <w:jc w:val="center"/>
            </w:pPr>
            <w:r>
              <w:t xml:space="preserve">P value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S100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0.71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+</w:t>
            </w:r>
          </w:p>
        </w:tc>
        <w:tc>
          <w:p>
            <w:pPr>
              <w:pStyle w:val="Compact"/>
              <w:jc w:val="center"/>
            </w:pPr>
            <w:r>
              <w:t xml:space="preserve">8 (72.7%)</w:t>
            </w:r>
          </w:p>
        </w:tc>
        <w:tc>
          <w:p>
            <w:pPr>
              <w:pStyle w:val="Compact"/>
              <w:jc w:val="center"/>
            </w:pPr>
            <w:r>
              <w:t xml:space="preserve">2 (50.0%)</w:t>
            </w:r>
          </w:p>
        </w:tc>
        <w:tc>
          <w:p>
            <w:pPr>
              <w:pStyle w:val="Compact"/>
              <w:jc w:val="center"/>
            </w:pPr>
            <w:r>
              <w:t xml:space="preserve">3 (75.0%)</w:t>
            </w:r>
          </w:p>
        </w:tc>
        <w:tc>
          <w:p>
            <w:pPr>
              <w:pStyle w:val="Compact"/>
              <w:jc w:val="center"/>
            </w:pPr>
            <w:r>
              <w:t xml:space="preserve">3 (100%)</w:t>
            </w: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center"/>
            </w:pPr>
            <w:r>
              <w:t xml:space="preserve">nd</w:t>
            </w:r>
          </w:p>
        </w:tc>
        <w:tc>
          <w:p>
            <w:pPr>
              <w:pStyle w:val="Compact"/>
              <w:jc w:val="center"/>
            </w:pPr>
            <w:r>
              <w:t xml:space="preserve">3 (27.3%)</w:t>
            </w:r>
          </w:p>
        </w:tc>
        <w:tc>
          <w:p>
            <w:pPr>
              <w:pStyle w:val="Compact"/>
              <w:jc w:val="center"/>
            </w:pPr>
            <w:r>
              <w:t xml:space="preserve">2 (50.0%)</w:t>
            </w:r>
          </w:p>
        </w:tc>
        <w:tc>
          <w:p>
            <w:pPr>
              <w:pStyle w:val="Compact"/>
              <w:jc w:val="center"/>
            </w:pPr>
            <w:r>
              <w:t xml:space="preserve">1 (25.0%)</w:t>
            </w:r>
          </w:p>
        </w:tc>
        <w:tc>
          <w:p>
            <w:pPr>
              <w:pStyle w:val="Compact"/>
              <w:jc w:val="center"/>
            </w:pPr>
            <w:r>
              <w:t xml:space="preserve">0 (0.0%)</w:t>
            </w: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center"/>
            </w:pPr>
            <w:r>
              <w:t xml:space="preserve">CD68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0.27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+</w:t>
            </w:r>
          </w:p>
        </w:tc>
        <w:tc>
          <w:p>
            <w:pPr>
              <w:pStyle w:val="Compact"/>
              <w:jc w:val="center"/>
            </w:pPr>
            <w:r>
              <w:t xml:space="preserve">2 (18.2%)</w:t>
            </w:r>
          </w:p>
        </w:tc>
        <w:tc>
          <w:p>
            <w:pPr>
              <w:pStyle w:val="Compact"/>
              <w:jc w:val="center"/>
            </w:pPr>
            <w:r>
              <w:t xml:space="preserve">2 (50.0%)</w:t>
            </w:r>
          </w:p>
        </w:tc>
        <w:tc>
          <w:p>
            <w:pPr>
              <w:pStyle w:val="Compact"/>
              <w:jc w:val="center"/>
            </w:pPr>
            <w:r>
              <w:t xml:space="preserve">0 (0.0%)</w:t>
            </w:r>
          </w:p>
        </w:tc>
        <w:tc>
          <w:p>
            <w:pPr>
              <w:pStyle w:val="Compact"/>
              <w:jc w:val="center"/>
            </w:pPr>
            <w:r>
              <w:t xml:space="preserve">0 (0.0%)</w:t>
            </w: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center"/>
            </w:pPr>
            <w:r>
              <w:t xml:space="preserve">nd</w:t>
            </w:r>
          </w:p>
        </w:tc>
        <w:tc>
          <w:p>
            <w:pPr>
              <w:pStyle w:val="Compact"/>
              <w:jc w:val="center"/>
            </w:pPr>
            <w:r>
              <w:t xml:space="preserve">9 (81.8%)</w:t>
            </w:r>
          </w:p>
        </w:tc>
        <w:tc>
          <w:p>
            <w:pPr>
              <w:pStyle w:val="Compact"/>
              <w:jc w:val="center"/>
            </w:pPr>
            <w:r>
              <w:t xml:space="preserve">2 (50.0%)</w:t>
            </w:r>
          </w:p>
        </w:tc>
        <w:tc>
          <w:p>
            <w:pPr>
              <w:pStyle w:val="Compact"/>
              <w:jc w:val="center"/>
            </w:pPr>
            <w:r>
              <w:t xml:space="preserve">4 (100%)</w:t>
            </w:r>
          </w:p>
        </w:tc>
        <w:tc>
          <w:p>
            <w:pPr>
              <w:pStyle w:val="Compact"/>
              <w:jc w:val="center"/>
            </w:pPr>
            <w:r>
              <w:t xml:space="preserve">3 (100%)</w:t>
            </w: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center"/>
            </w:pPr>
            <w:r>
              <w:t xml:space="preserve">PAS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0.18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+</w:t>
            </w:r>
          </w:p>
        </w:tc>
        <w:tc>
          <w:p>
            <w:pPr>
              <w:pStyle w:val="Compact"/>
              <w:jc w:val="center"/>
            </w:pPr>
            <w:r>
              <w:t xml:space="preserve">2 (18.2%)</w:t>
            </w:r>
          </w:p>
        </w:tc>
        <w:tc>
          <w:p>
            <w:pPr>
              <w:pStyle w:val="Compact"/>
              <w:jc w:val="center"/>
            </w:pPr>
            <w:r>
              <w:t xml:space="preserve">2 (50.0%)</w:t>
            </w:r>
          </w:p>
        </w:tc>
        <w:tc>
          <w:p>
            <w:pPr>
              <w:pStyle w:val="Compact"/>
              <w:jc w:val="center"/>
            </w:pPr>
            <w:r>
              <w:t xml:space="preserve">0 (0.0%)</w:t>
            </w:r>
          </w:p>
        </w:tc>
        <w:tc>
          <w:p>
            <w:pPr>
              <w:pStyle w:val="Compact"/>
              <w:jc w:val="center"/>
            </w:pPr>
            <w:r>
              <w:t xml:space="preserve">0 (0.0%)</w:t>
            </w: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center"/>
            </w:pPr>
            <w:r>
              <w:t xml:space="preserve">-</w:t>
            </w:r>
          </w:p>
        </w:tc>
        <w:tc>
          <w:p>
            <w:pPr>
              <w:pStyle w:val="Compact"/>
              <w:jc w:val="center"/>
            </w:pPr>
            <w:r>
              <w:t xml:space="preserve">2 (18.2%)</w:t>
            </w:r>
          </w:p>
        </w:tc>
        <w:tc>
          <w:p>
            <w:pPr>
              <w:pStyle w:val="Compact"/>
              <w:jc w:val="center"/>
            </w:pPr>
            <w:r>
              <w:t xml:space="preserve">1 (25.0%)</w:t>
            </w:r>
          </w:p>
        </w:tc>
        <w:tc>
          <w:p>
            <w:pPr>
              <w:pStyle w:val="Compact"/>
              <w:jc w:val="center"/>
            </w:pPr>
            <w:r>
              <w:t xml:space="preserve">0 (0.0%)</w:t>
            </w:r>
          </w:p>
        </w:tc>
        <w:tc>
          <w:p>
            <w:pPr>
              <w:pStyle w:val="Compact"/>
              <w:jc w:val="center"/>
            </w:pPr>
            <w:r>
              <w:t xml:space="preserve">1 (33.3%)</w:t>
            </w: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center"/>
            </w:pPr>
            <w:r>
              <w:t xml:space="preserve">nd</w:t>
            </w:r>
          </w:p>
        </w:tc>
        <w:tc>
          <w:p>
            <w:pPr>
              <w:pStyle w:val="Compact"/>
              <w:jc w:val="center"/>
            </w:pPr>
            <w:r>
              <w:t xml:space="preserve">7 (63.6%)</w:t>
            </w:r>
          </w:p>
        </w:tc>
        <w:tc>
          <w:p>
            <w:pPr>
              <w:pStyle w:val="Compact"/>
              <w:jc w:val="center"/>
            </w:pPr>
            <w:r>
              <w:t xml:space="preserve">1 (25.0%)</w:t>
            </w:r>
          </w:p>
        </w:tc>
        <w:tc>
          <w:p>
            <w:pPr>
              <w:pStyle w:val="Compact"/>
              <w:jc w:val="center"/>
            </w:pPr>
            <w:r>
              <w:t xml:space="preserve">4 (100%)</w:t>
            </w:r>
          </w:p>
        </w:tc>
        <w:tc>
          <w:p>
            <w:pPr>
              <w:pStyle w:val="Compact"/>
              <w:jc w:val="center"/>
            </w:pPr>
            <w:r>
              <w:t xml:space="preserve">2 (66.7%)</w:t>
            </w: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center"/>
            </w:pPr>
            <w:r>
              <w:t xml:space="preserve">GFAP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0.4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+</w:t>
            </w:r>
          </w:p>
        </w:tc>
        <w:tc>
          <w:p>
            <w:pPr>
              <w:pStyle w:val="Compact"/>
              <w:jc w:val="center"/>
            </w:pPr>
            <w:r>
              <w:t xml:space="preserve">1 (9.09%)</w:t>
            </w:r>
          </w:p>
        </w:tc>
        <w:tc>
          <w:p>
            <w:pPr>
              <w:pStyle w:val="Compact"/>
              <w:jc w:val="center"/>
            </w:pPr>
            <w:r>
              <w:t xml:space="preserve">0 (0.0%)</w:t>
            </w:r>
          </w:p>
        </w:tc>
        <w:tc>
          <w:p>
            <w:pPr>
              <w:pStyle w:val="Compact"/>
              <w:jc w:val="center"/>
            </w:pPr>
            <w:r>
              <w:t xml:space="preserve">0 (0.0%)</w:t>
            </w:r>
          </w:p>
        </w:tc>
        <w:tc>
          <w:p>
            <w:pPr>
              <w:pStyle w:val="Compact"/>
              <w:jc w:val="center"/>
            </w:pPr>
            <w:r>
              <w:t xml:space="preserve">1 (33.3%)</w:t>
            </w: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center"/>
            </w:pPr>
            <w:r>
              <w:t xml:space="preserve">-</w:t>
            </w:r>
          </w:p>
        </w:tc>
        <w:tc>
          <w:p>
            <w:pPr>
              <w:pStyle w:val="Compact"/>
              <w:jc w:val="center"/>
            </w:pPr>
            <w:r>
              <w:t xml:space="preserve">5 (45.5%)</w:t>
            </w:r>
          </w:p>
        </w:tc>
        <w:tc>
          <w:p>
            <w:pPr>
              <w:pStyle w:val="Compact"/>
              <w:jc w:val="center"/>
            </w:pPr>
            <w:r>
              <w:t xml:space="preserve">1 (25.0%)</w:t>
            </w:r>
          </w:p>
        </w:tc>
        <w:tc>
          <w:p>
            <w:pPr>
              <w:pStyle w:val="Compact"/>
              <w:jc w:val="center"/>
            </w:pPr>
            <w:r>
              <w:t xml:space="preserve">3 (75.0%)</w:t>
            </w:r>
          </w:p>
        </w:tc>
        <w:tc>
          <w:p>
            <w:pPr>
              <w:pStyle w:val="Compact"/>
              <w:jc w:val="center"/>
            </w:pPr>
            <w:r>
              <w:t xml:space="preserve">1 (33.3%)</w:t>
            </w: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center"/>
            </w:pPr>
            <w:r>
              <w:t xml:space="preserve">nd</w:t>
            </w:r>
          </w:p>
        </w:tc>
        <w:tc>
          <w:p>
            <w:pPr>
              <w:pStyle w:val="Compact"/>
              <w:jc w:val="center"/>
            </w:pPr>
            <w:r>
              <w:t xml:space="preserve">5 (45.5%)</w:t>
            </w:r>
          </w:p>
        </w:tc>
        <w:tc>
          <w:p>
            <w:pPr>
              <w:pStyle w:val="Compact"/>
              <w:jc w:val="center"/>
            </w:pPr>
            <w:r>
              <w:t xml:space="preserve">3 (75.0%)</w:t>
            </w:r>
          </w:p>
        </w:tc>
        <w:tc>
          <w:p>
            <w:pPr>
              <w:pStyle w:val="Compact"/>
              <w:jc w:val="center"/>
            </w:pPr>
            <w:r>
              <w:t xml:space="preserve">1 (25.0%)</w:t>
            </w:r>
          </w:p>
        </w:tc>
        <w:tc>
          <w:p>
            <w:pPr>
              <w:pStyle w:val="Compact"/>
              <w:jc w:val="center"/>
            </w:pPr>
            <w:r>
              <w:t xml:space="preserve">1 (33.3%)</w:t>
            </w: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center"/>
            </w:pPr>
            <w:r>
              <w:t xml:space="preserve">EMA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0.14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+</w:t>
            </w:r>
          </w:p>
        </w:tc>
        <w:tc>
          <w:p>
            <w:pPr>
              <w:pStyle w:val="Compact"/>
              <w:jc w:val="center"/>
            </w:pPr>
            <w:r>
              <w:t xml:space="preserve">5 (45.5%)</w:t>
            </w:r>
          </w:p>
        </w:tc>
        <w:tc>
          <w:p>
            <w:pPr>
              <w:pStyle w:val="Compact"/>
              <w:jc w:val="center"/>
            </w:pPr>
            <w:r>
              <w:t xml:space="preserve">0 (0.0%)</w:t>
            </w:r>
          </w:p>
        </w:tc>
        <w:tc>
          <w:p>
            <w:pPr>
              <w:pStyle w:val="Compact"/>
              <w:jc w:val="center"/>
            </w:pPr>
            <w:r>
              <w:t xml:space="preserve">2 (50.0%)</w:t>
            </w:r>
          </w:p>
        </w:tc>
        <w:tc>
          <w:p>
            <w:pPr>
              <w:pStyle w:val="Compact"/>
              <w:jc w:val="center"/>
            </w:pPr>
            <w:r>
              <w:t xml:space="preserve">3 (100%)</w:t>
            </w: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center"/>
            </w:pPr>
            <w:r>
              <w:t xml:space="preserve">-</w:t>
            </w:r>
          </w:p>
        </w:tc>
        <w:tc>
          <w:p>
            <w:pPr>
              <w:pStyle w:val="Compact"/>
              <w:jc w:val="center"/>
            </w:pPr>
            <w:r>
              <w:t xml:space="preserve">2 (18.2%)</w:t>
            </w:r>
          </w:p>
        </w:tc>
        <w:tc>
          <w:p>
            <w:pPr>
              <w:pStyle w:val="Compact"/>
              <w:jc w:val="center"/>
            </w:pPr>
            <w:r>
              <w:t xml:space="preserve">1 (25.0%)</w:t>
            </w:r>
          </w:p>
        </w:tc>
        <w:tc>
          <w:p>
            <w:pPr>
              <w:pStyle w:val="Compact"/>
              <w:jc w:val="center"/>
            </w:pPr>
            <w:r>
              <w:t xml:space="preserve">1 (25.0%)</w:t>
            </w:r>
          </w:p>
        </w:tc>
        <w:tc>
          <w:p>
            <w:pPr>
              <w:pStyle w:val="Compact"/>
              <w:jc w:val="center"/>
            </w:pPr>
            <w:r>
              <w:t xml:space="preserve">0 (0.0%)</w:t>
            </w: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center"/>
            </w:pPr>
            <w:r>
              <w:t xml:space="preserve">nd</w:t>
            </w:r>
          </w:p>
        </w:tc>
        <w:tc>
          <w:p>
            <w:pPr>
              <w:pStyle w:val="Compact"/>
              <w:jc w:val="center"/>
            </w:pPr>
            <w:r>
              <w:t xml:space="preserve">4 (36.4%)</w:t>
            </w:r>
          </w:p>
        </w:tc>
        <w:tc>
          <w:p>
            <w:pPr>
              <w:pStyle w:val="Compact"/>
              <w:jc w:val="center"/>
            </w:pPr>
            <w:r>
              <w:t xml:space="preserve">3 (75.0%)</w:t>
            </w:r>
          </w:p>
        </w:tc>
        <w:tc>
          <w:p>
            <w:pPr>
              <w:pStyle w:val="Compact"/>
              <w:jc w:val="center"/>
            </w:pPr>
            <w:r>
              <w:t xml:space="preserve">1 (25.0%)</w:t>
            </w:r>
          </w:p>
        </w:tc>
        <w:tc>
          <w:p>
            <w:pPr>
              <w:pStyle w:val="Compact"/>
              <w:jc w:val="center"/>
            </w:pPr>
            <w:r>
              <w:t xml:space="preserve">0 (0.0%)</w:t>
            </w: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center"/>
            </w:pPr>
            <w:r>
              <w:t xml:space="preserve">Synaptophysin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+</w:t>
            </w:r>
          </w:p>
        </w:tc>
        <w:tc>
          <w:p>
            <w:pPr>
              <w:pStyle w:val="Compact"/>
              <w:jc w:val="center"/>
            </w:pPr>
            <w:r>
              <w:t xml:space="preserve">1 (9.09%)</w:t>
            </w:r>
          </w:p>
        </w:tc>
        <w:tc>
          <w:p>
            <w:pPr>
              <w:pStyle w:val="Compact"/>
              <w:jc w:val="center"/>
            </w:pPr>
            <w:r>
              <w:t xml:space="preserve">0 (0.0%)</w:t>
            </w:r>
          </w:p>
        </w:tc>
        <w:tc>
          <w:p>
            <w:pPr>
              <w:pStyle w:val="Compact"/>
              <w:jc w:val="center"/>
            </w:pPr>
            <w:r>
              <w:t xml:space="preserve">1 (25.0%)</w:t>
            </w:r>
          </w:p>
        </w:tc>
        <w:tc>
          <w:p>
            <w:pPr>
              <w:pStyle w:val="Compact"/>
              <w:jc w:val="center"/>
            </w:pPr>
            <w:r>
              <w:t xml:space="preserve">0 (0.0%)</w:t>
            </w: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center"/>
            </w:pPr>
            <w:r>
              <w:t xml:space="preserve">nd</w:t>
            </w:r>
          </w:p>
        </w:tc>
        <w:tc>
          <w:p>
            <w:pPr>
              <w:pStyle w:val="Compact"/>
              <w:jc w:val="center"/>
            </w:pPr>
            <w:r>
              <w:t xml:space="preserve">10 (90.9%)</w:t>
            </w:r>
          </w:p>
        </w:tc>
        <w:tc>
          <w:p>
            <w:pPr>
              <w:pStyle w:val="Compact"/>
              <w:jc w:val="center"/>
            </w:pPr>
            <w:r>
              <w:t xml:space="preserve">4 (100%)</w:t>
            </w:r>
          </w:p>
        </w:tc>
        <w:tc>
          <w:p>
            <w:pPr>
              <w:pStyle w:val="Compact"/>
              <w:jc w:val="center"/>
            </w:pPr>
            <w:r>
              <w:t xml:space="preserve">3 (75.0%)</w:t>
            </w:r>
          </w:p>
        </w:tc>
        <w:tc>
          <w:p>
            <w:pPr>
              <w:pStyle w:val="Compact"/>
              <w:jc w:val="center"/>
            </w:pPr>
            <w:r>
              <w:t xml:space="preserve">3 (100%)</w:t>
            </w: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center"/>
            </w:pPr>
            <w:r>
              <w:t xml:space="preserve">Calretinin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+</w:t>
            </w:r>
          </w:p>
        </w:tc>
        <w:tc>
          <w:p>
            <w:pPr>
              <w:pStyle w:val="Compact"/>
              <w:jc w:val="center"/>
            </w:pPr>
            <w:r>
              <w:t xml:space="preserve">1 (9.09%)</w:t>
            </w:r>
          </w:p>
        </w:tc>
        <w:tc>
          <w:p>
            <w:pPr>
              <w:pStyle w:val="Compact"/>
              <w:jc w:val="center"/>
            </w:pPr>
            <w:r>
              <w:t xml:space="preserve">0 (0.0%)</w:t>
            </w:r>
          </w:p>
        </w:tc>
        <w:tc>
          <w:p>
            <w:pPr>
              <w:pStyle w:val="Compact"/>
              <w:jc w:val="center"/>
            </w:pPr>
            <w:r>
              <w:t xml:space="preserve">1 (25.0%)</w:t>
            </w:r>
          </w:p>
        </w:tc>
        <w:tc>
          <w:p>
            <w:pPr>
              <w:pStyle w:val="Compact"/>
              <w:jc w:val="center"/>
            </w:pPr>
            <w:r>
              <w:t xml:space="preserve">0 (0.0%)</w:t>
            </w: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center"/>
            </w:pPr>
            <w:r>
              <w:t xml:space="preserve">nd</w:t>
            </w:r>
          </w:p>
        </w:tc>
        <w:tc>
          <w:p>
            <w:pPr>
              <w:pStyle w:val="Compact"/>
              <w:jc w:val="center"/>
            </w:pPr>
            <w:r>
              <w:t xml:space="preserve">10 (90.9%)</w:t>
            </w:r>
          </w:p>
        </w:tc>
        <w:tc>
          <w:p>
            <w:pPr>
              <w:pStyle w:val="Compact"/>
              <w:jc w:val="center"/>
            </w:pPr>
            <w:r>
              <w:t xml:space="preserve">4 (100%)</w:t>
            </w:r>
          </w:p>
        </w:tc>
        <w:tc>
          <w:p>
            <w:pPr>
              <w:pStyle w:val="Compact"/>
              <w:jc w:val="center"/>
            </w:pPr>
            <w:r>
              <w:t xml:space="preserve">3 (75.0%)</w:t>
            </w:r>
          </w:p>
        </w:tc>
        <w:tc>
          <w:p>
            <w:pPr>
              <w:pStyle w:val="Compact"/>
              <w:jc w:val="center"/>
            </w:pPr>
            <w:r>
              <w:t xml:space="preserve">3 (100%)</w:t>
            </w: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center"/>
            </w:pPr>
            <w:r>
              <w:t xml:space="preserve">TTF1 +</w:t>
            </w:r>
          </w:p>
        </w:tc>
        <w:tc>
          <w:p>
            <w:pPr>
              <w:pStyle w:val="Compact"/>
              <w:jc w:val="center"/>
            </w:pPr>
            <w:r>
              <w:t xml:space="preserve">11 (100%)</w:t>
            </w:r>
          </w:p>
        </w:tc>
        <w:tc>
          <w:p>
            <w:pPr>
              <w:pStyle w:val="Compact"/>
              <w:jc w:val="center"/>
            </w:pPr>
            <w:r>
              <w:t xml:space="preserve">4 (100%)</w:t>
            </w:r>
          </w:p>
        </w:tc>
        <w:tc>
          <w:p>
            <w:pPr>
              <w:pStyle w:val="Compact"/>
              <w:jc w:val="center"/>
            </w:pPr>
            <w:r>
              <w:t xml:space="preserve">4 (100%)</w:t>
            </w:r>
          </w:p>
        </w:tc>
        <w:tc>
          <w:p>
            <w:pPr>
              <w:pStyle w:val="Compact"/>
              <w:jc w:val="center"/>
            </w:pPr>
            <w:r>
              <w:t xml:space="preserve">3 (100%)</w:t>
            </w:r>
          </w:p>
        </w:tc>
        <w:tc>
          <w:p>
            <w:pPr>
              <w:pStyle w:val="Compact"/>
              <w:jc w:val="center"/>
            </w:pPr>
            <w:r>
              <w:t xml:space="preserve">.</w:t>
            </w:r>
          </w:p>
        </w:tc>
      </w:tr>
    </w:tbl>
    <w:p>
      <w:pPr>
        <w:pStyle w:val="Heading1"/>
      </w:pPr>
      <w:bookmarkStart w:id="29" w:name="discussion"/>
      <w:bookmarkEnd w:id="29"/>
      <w:r>
        <w:t xml:space="preserve">Discussion</w:t>
      </w:r>
    </w:p>
    <w:p>
      <w:pPr>
        <w:pStyle w:val="FirstParagraph"/>
      </w:pPr>
      <w:r>
        <w:t xml:space="preserve">The rarity of these non-endocrine pituitary tumors and relatively small</w:t>
      </w:r>
      <w:r>
        <w:t xml:space="preserve"> </w:t>
      </w:r>
      <w:r>
        <w:t xml:space="preserve">studies in the literature have led to a somewhat conflicting</w:t>
      </w:r>
      <w:r>
        <w:t xml:space="preserve"> </w:t>
      </w:r>
      <w:r>
        <w:t xml:space="preserve">understanding of these tumors and disparate treatment recommendations.</w:t>
      </w:r>
      <w:r>
        <w:t xml:space="preserve"> </w:t>
      </w:r>
      <w:r>
        <w:t xml:space="preserve">Like others in the literature, the currently study is limited by a small</w:t>
      </w:r>
      <w:r>
        <w:t xml:space="preserve"> </w:t>
      </w:r>
      <w:r>
        <w:t xml:space="preserve">number of patients in each tumor category, as well as the retrospective</w:t>
      </w:r>
      <w:r>
        <w:t xml:space="preserve"> </w:t>
      </w:r>
      <w:r>
        <w:t xml:space="preserve">nature of data collection. </w:t>
      </w:r>
    </w:p>
    <w:p>
      <w:pPr>
        <w:pStyle w:val="BodyText"/>
      </w:pPr>
      <w:r>
        <w:br w:type="textWrapping"/>
      </w:r>
      <w:r>
        <w:t xml:space="preserve">In terms of immunohistologic findings, SCOs have been shown to display</w:t>
      </w:r>
      <w:r>
        <w:t xml:space="preserve"> </w:t>
      </w:r>
      <w:r>
        <w:t xml:space="preserve">positive S100 and EMA staining patterns</w:t>
      </w:r>
      <w:r>
        <w:rPr>
          <w:vertAlign w:val="superscript"/>
        </w:rPr>
        <w:t xml:space="preserve">13</w:t>
      </w:r>
      <w:r>
        <w:t xml:space="preserve">, which we</w:t>
      </w:r>
      <w:r>
        <w:t xml:space="preserve"> </w:t>
      </w:r>
      <w:r>
        <w:t xml:space="preserve">have also found in our dataset. However, we feel EMA should not be</w:t>
      </w:r>
      <w:r>
        <w:t xml:space="preserve"> </w:t>
      </w:r>
      <w:r>
        <w:t xml:space="preserve">thought of as a method to distinguish SCOs from other</w:t>
      </w:r>
      <w:r>
        <w:t xml:space="preserve"> </w:t>
      </w:r>
      <w:r>
        <w:t xml:space="preserve">lesions</w:t>
      </w:r>
      <w:r>
        <w:rPr>
          <w:vertAlign w:val="superscript"/>
        </w:rPr>
        <w:t xml:space="preserve">6</w:t>
      </w:r>
      <w:r>
        <w:t xml:space="preserve">, since PCTs were also positive for EMA</w:t>
      </w:r>
      <w:r>
        <w:t xml:space="preserve"> </w:t>
      </w:r>
      <w:r>
        <w:t xml:space="preserve">staining. Additionally, we found that TTF-1 was expressed in all eleven</w:t>
      </w:r>
      <w:r>
        <w:t xml:space="preserve"> </w:t>
      </w:r>
      <w:r>
        <w:t xml:space="preserve">of our tumors, confirming their histogenetic similarity and likely</w:t>
      </w:r>
      <w:r>
        <w:t xml:space="preserve"> </w:t>
      </w:r>
      <w:r>
        <w:t xml:space="preserve">shared lineage</w:t>
      </w:r>
      <w:r>
        <w:rPr>
          <w:vertAlign w:val="superscript"/>
        </w:rPr>
        <w:t xml:space="preserve">6</w:t>
      </w:r>
      <w:r>
        <w:t xml:space="preserve">. Outside of TTF-1 staining, a major</w:t>
      </w:r>
      <w:r>
        <w:t xml:space="preserve"> </w:t>
      </w:r>
      <w:r>
        <w:t xml:space="preserve">limitation of our histologic results is that many stains were not</w:t>
      </w:r>
      <w:r>
        <w:t xml:space="preserve"> </w:t>
      </w:r>
      <w:r>
        <w:t xml:space="preserve">performed on all tumors. </w:t>
      </w:r>
    </w:p>
    <w:p>
      <w:pPr>
        <w:pStyle w:val="BodyText"/>
      </w:pPr>
      <w:r>
        <w:br w:type="textWrapping"/>
      </w:r>
      <w:r>
        <w:t xml:space="preserve">Another observation worthy of discussion revolves around the locations</w:t>
      </w:r>
      <w:r>
        <w:t xml:space="preserve"> </w:t>
      </w:r>
      <w:r>
        <w:t xml:space="preserve">of these tumors. While the literature describes PCTs as purely</w:t>
      </w:r>
      <w:r>
        <w:t xml:space="preserve"> </w:t>
      </w:r>
      <w:r>
        <w:t xml:space="preserve">intrasellar</w:t>
      </w:r>
      <w:r>
        <w:rPr>
          <w:vertAlign w:val="superscript"/>
        </w:rPr>
        <w:t xml:space="preserve">7,8</w:t>
      </w:r>
      <w:r>
        <w:t xml:space="preserve">, we found that PCTs may be found in</w:t>
      </w:r>
      <w:r>
        <w:t xml:space="preserve"> </w:t>
      </w:r>
      <w:r>
        <w:t xml:space="preserve">suprasellar or infundibular regions as well. Moreover, our results</w:t>
      </w:r>
      <w:r>
        <w:t xml:space="preserve"> </w:t>
      </w:r>
      <w:r>
        <w:t xml:space="preserve">showed that GCTs were never exclusively found in the intrasellar region,</w:t>
      </w:r>
      <w:r>
        <w:t xml:space="preserve"> </w:t>
      </w:r>
      <w:r>
        <w:t xml:space="preserve">which has also been described by Cohen-Gadol et al</w:t>
      </w:r>
      <w:r>
        <w:rPr>
          <w:vertAlign w:val="superscript"/>
        </w:rPr>
        <w:t xml:space="preserve">15</w:t>
      </w:r>
      <w:r>
        <w:t xml:space="preserve">,</w:t>
      </w:r>
      <w:r>
        <w:t xml:space="preserve"> </w:t>
      </w:r>
      <w:r>
        <w:t xml:space="preserve">potentially identifying a reason to exclude these lesions from the</w:t>
      </w:r>
      <w:r>
        <w:t xml:space="preserve"> </w:t>
      </w:r>
      <w:r>
        <w:t xml:space="preserve">differential diagnosis of a purely intrasellar mass. An interesting note</w:t>
      </w:r>
      <w:r>
        <w:t xml:space="preserve"> </w:t>
      </w:r>
      <w:r>
        <w:t xml:space="preserve">regarding the locations of SCOs is that we had one case of a purely</w:t>
      </w:r>
      <w:r>
        <w:t xml:space="preserve"> </w:t>
      </w:r>
      <w:r>
        <w:t xml:space="preserve">intrasellar lesion, showing that it is possible for SCOs to be isolated</w:t>
      </w:r>
      <w:r>
        <w:t xml:space="preserve"> </w:t>
      </w:r>
      <w:r>
        <w:t xml:space="preserve">within the intrasellar region, rather than both intra- and</w:t>
      </w:r>
      <w:r>
        <w:t xml:space="preserve"> </w:t>
      </w:r>
      <w:r>
        <w:t xml:space="preserve">suprasellar</w:t>
      </w:r>
      <w:r>
        <w:rPr>
          <w:vertAlign w:val="superscript"/>
        </w:rPr>
        <w:t xml:space="preserve">7</w:t>
      </w:r>
      <w:r>
        <w:t xml:space="preserve">.  </w:t>
      </w:r>
    </w:p>
    <w:p>
      <w:pPr>
        <w:pStyle w:val="BodyText"/>
      </w:pPr>
      <w:r>
        <w:br w:type="textWrapping"/>
      </w:r>
      <w:r>
        <w:t xml:space="preserve">Our case series suggests that preoperative endocrine abnormalities, such</w:t>
      </w:r>
      <w:r>
        <w:t xml:space="preserve"> </w:t>
      </w:r>
      <w:r>
        <w:t xml:space="preserve">as hypopituitarism, may be more common in SCOs compared to other tumors,</w:t>
      </w:r>
      <w:r>
        <w:t xml:space="preserve"> </w:t>
      </w:r>
      <w:r>
        <w:t xml:space="preserve">which aligns well with what is currently shown in the</w:t>
      </w:r>
      <w:r>
        <w:t xml:space="preserve"> </w:t>
      </w:r>
      <w:r>
        <w:t xml:space="preserve">literature</w:t>
      </w:r>
      <w:r>
        <w:rPr>
          <w:vertAlign w:val="superscript"/>
        </w:rPr>
        <w:t xml:space="preserve">16</w:t>
      </w:r>
      <w:r>
        <w:t xml:space="preserve">. Despite this, we did not find any new or</w:t>
      </w:r>
      <w:r>
        <w:t xml:space="preserve"> </w:t>
      </w:r>
      <w:r>
        <w:t xml:space="preserve">worsening endocrine abnormalities in SCOs, postoperatively.</w:t>
      </w:r>
    </w:p>
    <w:p>
      <w:pPr>
        <w:pStyle w:val="BodyText"/>
      </w:pPr>
      <w:r>
        <w:br w:type="textWrapping"/>
      </w:r>
      <w:r>
        <w:t xml:space="preserve">As far as surgical management and follow-up is concerned, PCTs and SCOs</w:t>
      </w:r>
      <w:r>
        <w:t xml:space="preserve"> </w:t>
      </w:r>
      <w:r>
        <w:t xml:space="preserve">are thought to be highly vascular</w:t>
      </w:r>
      <w:r>
        <w:rPr>
          <w:vertAlign w:val="superscript"/>
        </w:rPr>
        <w:t xml:space="preserve">15,16. </w:t>
      </w:r>
      <w:r>
        <w:t xml:space="preserve">The</w:t>
      </w:r>
      <w:r>
        <w:t xml:space="preserve"> </w:t>
      </w:r>
      <w:r>
        <w:t xml:space="preserve">possibility of a massive bleed during surgery has been suggested by some</w:t>
      </w:r>
      <w:r>
        <w:t xml:space="preserve"> </w:t>
      </w:r>
      <w:r>
        <w:t xml:space="preserve">to lead to subtotal resection, perhaps predisposing to recurrence of</w:t>
      </w:r>
      <w:r>
        <w:t xml:space="preserve"> </w:t>
      </w:r>
      <w:r>
        <w:t xml:space="preserve">these tumors (Wolfe, Bruce, and Morcos 2008)(Pirayesh et al. 2012)(Zygourakis et al. 2015).</w:t>
      </w:r>
      <w:r>
        <w:t xml:space="preserve"> </w:t>
      </w:r>
      <w:r>
        <w:t xml:space="preserve">However, our series showed that all eleven of the tumors, regardless of</w:t>
      </w:r>
      <w:r>
        <w:t xml:space="preserve"> </w:t>
      </w:r>
      <w:r>
        <w:t xml:space="preserve">classification, had a gross total resection without encountering</w:t>
      </w:r>
      <w:r>
        <w:t xml:space="preserve"> </w:t>
      </w:r>
      <w:r>
        <w:t xml:space="preserve">significant blood loss due to tumor vascularity.  Furthermore, the high</w:t>
      </w:r>
      <w:r>
        <w:t xml:space="preserve"> </w:t>
      </w:r>
      <w:r>
        <w:t xml:space="preserve">vascularity of these tumors invited support from some groups for a</w:t>
      </w:r>
      <w:r>
        <w:t xml:space="preserve"> </w:t>
      </w:r>
      <w:r>
        <w:t xml:space="preserve">Sylvian, as opposed to an endoscopic, approach in order to preserve</w:t>
      </w:r>
      <w:r>
        <w:t xml:space="preserve"> </w:t>
      </w:r>
      <w:r>
        <w:t xml:space="preserve">vascular integrity</w:t>
      </w:r>
      <w:r>
        <w:rPr>
          <w:vertAlign w:val="superscript"/>
        </w:rPr>
        <w:t xml:space="preserve">17,18</w:t>
      </w:r>
      <w:r>
        <w:t xml:space="preserve">; however, we were able to</w:t>
      </w:r>
      <w:r>
        <w:t xml:space="preserve"> </w:t>
      </w:r>
      <w:r>
        <w:t xml:space="preserve">utilize the endoscopic approach safely for these tumors, including for</w:t>
      </w:r>
      <w:r>
        <w:t xml:space="preserve"> </w:t>
      </w:r>
      <w:r>
        <w:t xml:space="preserve">an infundibular GCT case. With a mean follow up of 4.72 ± 3.65 years and</w:t>
      </w:r>
      <w:r>
        <w:t xml:space="preserve"> </w:t>
      </w:r>
      <w:r>
        <w:t xml:space="preserve">no recurrences, we believe that gross total resection is key for</w:t>
      </w:r>
      <w:r>
        <w:t xml:space="preserve"> </w:t>
      </w:r>
      <w:r>
        <w:t xml:space="preserve">management of these tumors.</w:t>
      </w:r>
    </w:p>
    <w:p>
      <w:pPr>
        <w:pStyle w:val="BodyText"/>
      </w:pPr>
      <w:r>
        <w:t xml:space="preserve"> </w:t>
      </w:r>
    </w:p>
    <w:p>
      <w:pPr>
        <w:pStyle w:val="Heading1"/>
      </w:pPr>
      <w:bookmarkStart w:id="30" w:name="conclusion"/>
      <w:bookmarkEnd w:id="30"/>
      <w:r>
        <w:t xml:space="preserve">Conclusion</w:t>
      </w:r>
    </w:p>
    <w:p>
      <w:pPr>
        <w:pStyle w:val="FirstParagraph"/>
      </w:pPr>
      <w:r>
        <w:t xml:space="preserve">We present our institutional series of 4 GCT, 4 PCT, and 3 SCO tumor</w:t>
      </w:r>
      <w:r>
        <w:t xml:space="preserve"> </w:t>
      </w:r>
      <w:r>
        <w:t xml:space="preserve">patients, the largest to date of these three TTF-1 staining tumors of</w:t>
      </w:r>
      <w:r>
        <w:t xml:space="preserve"> </w:t>
      </w:r>
      <w:r>
        <w:t xml:space="preserve">the sellar region. GCTs were reliably found to be exclusively</w:t>
      </w:r>
      <w:r>
        <w:t xml:space="preserve"> </w:t>
      </w:r>
      <w:r>
        <w:t xml:space="preserve">suprasellar at presentation. SCOs tended to present with more endocrine</w:t>
      </w:r>
      <w:r>
        <w:t xml:space="preserve"> </w:t>
      </w:r>
      <w:r>
        <w:t xml:space="preserve">abnormalities, but less likely to have endocrine worsening</w:t>
      </w:r>
      <w:r>
        <w:t xml:space="preserve"> </w:t>
      </w:r>
      <w:r>
        <w:t xml:space="preserve">postoperatively. Gross total resection was achieved in all cases with no</w:t>
      </w:r>
      <w:r>
        <w:t xml:space="preserve"> </w:t>
      </w:r>
      <w:r>
        <w:t xml:space="preserve">known recurrence at nearly 5 years of mean follow up.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31" w:name="abbreviations"/>
      <w:bookmarkEnd w:id="31"/>
      <w:r>
        <w:t xml:space="preserve">Abbreviations</w:t>
      </w:r>
    </w:p>
    <w:p>
      <w:pPr>
        <w:pStyle w:val="FirstParagraph"/>
      </w:pPr>
      <w:r>
        <w:t xml:space="preserve">GCT - granular cell tumor, PCT - pituicytoma, SCO - spindle cell</w:t>
      </w:r>
      <w:r>
        <w:t xml:space="preserve"> </w:t>
      </w:r>
      <w:r>
        <w:t xml:space="preserve">oncocytoma, TTF - thyroid transcription factor,  MRI - magnetic</w:t>
      </w:r>
      <w:r>
        <w:t xml:space="preserve"> </w:t>
      </w:r>
      <w:r>
        <w:t xml:space="preserve">resonance imaging</w:t>
      </w:r>
    </w:p>
    <w:p>
      <w:pPr>
        <w:pStyle w:val="BodyText"/>
      </w:pPr>
      <w:r>
        <w:t xml:space="preserve"> </w:t>
      </w:r>
    </w:p>
    <w:p>
      <w:pPr>
        <w:pStyle w:val="Heading1"/>
      </w:pPr>
      <w:bookmarkStart w:id="32" w:name="references"/>
      <w:bookmarkEnd w:id="32"/>
      <w:r>
        <w:t xml:space="preserve">References</w:t>
      </w:r>
    </w:p>
    <w:p>
      <w:pPr>
        <w:pStyle w:val="FirstParagraph"/>
      </w:pPr>
      <w:r>
        <w:t xml:space="preserve">1.     Louis</w:t>
      </w:r>
      <w:r>
        <w:t xml:space="preserve"> </w:t>
      </w:r>
      <w:hyperlink r:id="rId33">
        <w:r>
          <w:rPr>
            <w:rStyle w:val="Hyperlink"/>
          </w:rPr>
          <w:t xml:space="preserve">https://www.ncbi.nlm.nih.gov/pmc/articles/PMC1929165/</w:t>
        </w:r>
      </w:hyperlink>
    </w:p>
    <w:p>
      <w:pPr>
        <w:pStyle w:val="BodyText"/>
      </w:pPr>
      <w:r>
        <w:t xml:space="preserve">2.     Brat, D. J., et al. (2000).</w:t>
      </w:r>
      <w:r>
        <w:t xml:space="preserve"> </w:t>
      </w:r>
      <w:r>
        <w:t xml:space="preserve">“</w:t>
      </w:r>
      <w:r>
        <w:t xml:space="preserve">Pituicytoma: a distinctive</w:t>
      </w:r>
      <w:r>
        <w:t xml:space="preserve"> </w:t>
      </w:r>
      <w:r>
        <w:t xml:space="preserve">low-grade glioma of the neurohypophysis.</w:t>
      </w:r>
      <w:r>
        <w:t xml:space="preserve">”</w:t>
      </w:r>
      <w:r>
        <w:t xml:space="preserve"> </w:t>
      </w:r>
      <w:r>
        <w:t xml:space="preserve">Am J Surg Pathol</w:t>
      </w:r>
      <w:r>
        <w:t xml:space="preserve"> </w:t>
      </w:r>
      <w:r>
        <w:rPr>
          <w:b/>
        </w:rPr>
        <w:t xml:space="preserve">24</w:t>
      </w:r>
      <w:r>
        <w:t xml:space="preserve">(3): 362-368.</w:t>
      </w:r>
    </w:p>
    <w:p>
      <w:pPr>
        <w:pStyle w:val="BodyText"/>
      </w:pPr>
      <w:r>
        <w:t xml:space="preserve">3.     Aquilina, K., et al. (2006).</w:t>
      </w:r>
      <w:r>
        <w:t xml:space="preserve"> </w:t>
      </w:r>
      <w:r>
        <w:t xml:space="preserve">“</w:t>
      </w:r>
      <w:r>
        <w:t xml:space="preserve">Granular cell tumour of the</w:t>
      </w:r>
      <w:r>
        <w:t xml:space="preserve"> </w:t>
      </w:r>
      <w:r>
        <w:t xml:space="preserve">neurohypophysis: a rare sellar tumour with specific radiological and</w:t>
      </w:r>
      <w:r>
        <w:t xml:space="preserve"> </w:t>
      </w:r>
      <w:r>
        <w:t xml:space="preserve">operative features.</w:t>
      </w:r>
      <w:r>
        <w:t xml:space="preserve">”</w:t>
      </w:r>
      <w:r>
        <w:t xml:space="preserve"> </w:t>
      </w:r>
      <w:r>
        <w:t xml:space="preserve">Br J Neurosurg</w:t>
      </w:r>
      <w:r>
        <w:t xml:space="preserve"> </w:t>
      </w:r>
      <w:r>
        <w:rPr>
          <w:b/>
        </w:rPr>
        <w:t xml:space="preserve">20</w:t>
      </w:r>
      <w:r>
        <w:t xml:space="preserve">(1): 51-54.</w:t>
      </w:r>
    </w:p>
    <w:p>
      <w:pPr>
        <w:pStyle w:val="BodyText"/>
      </w:pPr>
      <w:r>
        <w:t xml:space="preserve">4.     Saiegh, L., et al. (2013).</w:t>
      </w:r>
      <w:r>
        <w:t xml:space="preserve"> </w:t>
      </w:r>
      <w:r>
        <w:t xml:space="preserve">“</w:t>
      </w:r>
      <w:r>
        <w:t xml:space="preserve">Granular cell tumor of the</w:t>
      </w:r>
      <w:r>
        <w:t xml:space="preserve"> </w:t>
      </w:r>
      <w:r>
        <w:t xml:space="preserve">neurohypophysis: case report and review of the literature.</w:t>
      </w:r>
      <w:r>
        <w:t xml:space="preserve">”</w:t>
      </w:r>
      <w:r>
        <w:t xml:space="preserve"> </w:t>
      </w:r>
      <w:r>
        <w:t xml:space="preserve">Neuro</w:t>
      </w:r>
      <w:r>
        <w:t xml:space="preserve"> </w:t>
      </w:r>
      <w:r>
        <w:t xml:space="preserve">Endocrinol Lett</w:t>
      </w:r>
      <w:r>
        <w:t xml:space="preserve"> </w:t>
      </w:r>
      <w:r>
        <w:rPr>
          <w:b/>
        </w:rPr>
        <w:t xml:space="preserve">34</w:t>
      </w:r>
      <w:r>
        <w:t xml:space="preserve">(5): 331-338.</w:t>
      </w:r>
    </w:p>
    <w:p>
      <w:pPr>
        <w:pStyle w:val="BodyText"/>
      </w:pPr>
      <w:r>
        <w:t xml:space="preserve">5.     Roncaroli</w:t>
      </w:r>
      <w:r>
        <w:t xml:space="preserve"> </w:t>
      </w:r>
      <w:hyperlink r:id="rId34">
        <w:r>
          <w:rPr>
            <w:rStyle w:val="Hyperlink"/>
          </w:rPr>
          <w:t xml:space="preserve">https://www.ncbi.nlm.nih.gov/pubmed/12170092</w:t>
        </w:r>
      </w:hyperlink>
    </w:p>
    <w:p>
      <w:pPr>
        <w:pStyle w:val="BodyText"/>
      </w:pPr>
      <w:r>
        <w:t xml:space="preserve">6.     Lee </w:t>
      </w:r>
      <w:hyperlink r:id="rId35">
        <w:r>
          <w:rPr>
            <w:rStyle w:val="Hyperlink"/>
          </w:rPr>
          <w:t xml:space="preserve">https://academic.oup.com/jnen/article/68/5/482/2917042</w:t>
        </w:r>
      </w:hyperlink>
    </w:p>
    <w:p>
      <w:pPr>
        <w:pStyle w:val="BodyText"/>
      </w:pPr>
      <w:r>
        <w:t xml:space="preserve">7.     Covington, M. F., et al. (2011).</w:t>
      </w:r>
      <w:r>
        <w:t xml:space="preserve"> </w:t>
      </w:r>
      <w:r>
        <w:t xml:space="preserve">“</w:t>
      </w:r>
      <w:r>
        <w:t xml:space="preserve">Pituicytoma, spindle cell</w:t>
      </w:r>
      <w:r>
        <w:t xml:space="preserve"> </w:t>
      </w:r>
      <w:r>
        <w:t xml:space="preserve">oncocytoma, and granular cell tumor: clarification and meta-analysis of</w:t>
      </w:r>
      <w:r>
        <w:t xml:space="preserve"> </w:t>
      </w:r>
      <w:r>
        <w:t xml:space="preserve">the world literature since 1893.</w:t>
      </w:r>
      <w:r>
        <w:t xml:space="preserve">”</w:t>
      </w:r>
      <w:r>
        <w:t xml:space="preserve"> </w:t>
      </w:r>
      <w:r>
        <w:t xml:space="preserve">AJNR Am J Neuroradiol</w:t>
      </w:r>
      <w:r>
        <w:t xml:space="preserve"> </w:t>
      </w:r>
      <w:r>
        <w:rPr>
          <w:b/>
        </w:rPr>
        <w:t xml:space="preserve">32</w:t>
      </w:r>
      <w:r>
        <w:t xml:space="preserve">(11): 2067-2072.</w:t>
      </w:r>
    </w:p>
    <w:p>
      <w:pPr>
        <w:pStyle w:val="BodyText"/>
      </w:pPr>
      <w:r>
        <w:t xml:space="preserve">8.     Pirayesh Islamian, A., et al. (2012).</w:t>
      </w:r>
      <w:r>
        <w:t xml:space="preserve"> </w:t>
      </w:r>
      <w:r>
        <w:t xml:space="preserve">“</w:t>
      </w:r>
      <w:r>
        <w:t xml:space="preserve">Pituicytoma: overview of</w:t>
      </w:r>
      <w:r>
        <w:t xml:space="preserve"> </w:t>
      </w:r>
      <w:r>
        <w:t xml:space="preserve">treatment strategies and outcome.</w:t>
      </w:r>
      <w:r>
        <w:t xml:space="preserve">”</w:t>
      </w:r>
      <w:r>
        <w:t xml:space="preserve"> </w:t>
      </w:r>
      <w:r>
        <w:t xml:space="preserve">Pituitary</w:t>
      </w:r>
      <w:r>
        <w:t xml:space="preserve"> </w:t>
      </w:r>
      <w:r>
        <w:rPr>
          <w:b/>
        </w:rPr>
        <w:t xml:space="preserve">15</w:t>
      </w:r>
      <w:r>
        <w:t xml:space="preserve">(2): 227-236.</w:t>
      </w:r>
    </w:p>
    <w:p>
      <w:pPr>
        <w:pStyle w:val="BodyText"/>
      </w:pPr>
      <w:r>
        <w:t xml:space="preserve">9.     Mete, O., et al. (2013).</w:t>
      </w:r>
      <w:r>
        <w:t xml:space="preserve"> </w:t>
      </w:r>
      <w:r>
        <w:t xml:space="preserve">“</w:t>
      </w:r>
      <w:r>
        <w:t xml:space="preserve">Spindle cell oncocytomas and granular</w:t>
      </w:r>
      <w:r>
        <w:t xml:space="preserve"> </w:t>
      </w:r>
      <w:r>
        <w:t xml:space="preserve">cell tumors of the pituitary are variants of pituicytoma.</w:t>
      </w:r>
      <w:r>
        <w:t xml:space="preserve">”</w:t>
      </w:r>
      <w:r>
        <w:t xml:space="preserve"> </w:t>
      </w:r>
      <w:r>
        <w:t xml:space="preserve">Am J Surg</w:t>
      </w:r>
      <w:r>
        <w:t xml:space="preserve"> </w:t>
      </w:r>
      <w:r>
        <w:t xml:space="preserve">Pathol</w:t>
      </w:r>
      <w:r>
        <w:t xml:space="preserve"> </w:t>
      </w:r>
      <w:r>
        <w:rPr>
          <w:b/>
        </w:rPr>
        <w:t xml:space="preserve">37</w:t>
      </w:r>
      <w:r>
        <w:t xml:space="preserve">(11): 1694-1699.</w:t>
      </w:r>
    </w:p>
    <w:p>
      <w:pPr>
        <w:pStyle w:val="BodyText"/>
      </w:pPr>
      <w:r>
        <w:t xml:space="preserve">10.  Zygourakis, C. C., et al. (2015).</w:t>
      </w:r>
      <w:r>
        <w:t xml:space="preserve"> </w:t>
      </w:r>
      <w:r>
        <w:t xml:space="preserve">“</w:t>
      </w:r>
      <w:r>
        <w:t xml:space="preserve">Pituicytomas and spindle cell</w:t>
      </w:r>
      <w:r>
        <w:t xml:space="preserve"> </w:t>
      </w:r>
      <w:r>
        <w:t xml:space="preserve">oncocytomas: modern case series from the University of California, San</w:t>
      </w:r>
      <w:r>
        <w:t xml:space="preserve"> </w:t>
      </w:r>
      <w:r>
        <w:t xml:space="preserve">Francisco.</w:t>
      </w:r>
      <w:r>
        <w:t xml:space="preserve">”</w:t>
      </w:r>
      <w:r>
        <w:t xml:space="preserve"> </w:t>
      </w:r>
      <w:r>
        <w:t xml:space="preserve">Pituitary</w:t>
      </w:r>
      <w:r>
        <w:t xml:space="preserve"> </w:t>
      </w:r>
      <w:r>
        <w:rPr>
          <w:b/>
        </w:rPr>
        <w:t xml:space="preserve">18</w:t>
      </w:r>
      <w:r>
        <w:t xml:space="preserve">(1): 150-158.</w:t>
      </w:r>
    </w:p>
    <w:p>
      <w:pPr>
        <w:pStyle w:val="BodyText"/>
      </w:pPr>
      <w:r>
        <w:t xml:space="preserve">11.  Kleinschmidt-DeMasters, B. K. and M. B. Lopes (2013).</w:t>
      </w:r>
      <w:r>
        <w:t xml:space="preserve"> </w:t>
      </w:r>
      <w:r>
        <w:t xml:space="preserve">“</w:t>
      </w:r>
      <w:r>
        <w:t xml:space="preserve">Update on</w:t>
      </w:r>
      <w:r>
        <w:t xml:space="preserve"> </w:t>
      </w:r>
      <w:r>
        <w:t xml:space="preserve">hypophysitis and TTF-1 expressing sellar region masses.</w:t>
      </w:r>
      <w:r>
        <w:t xml:space="preserve">”</w:t>
      </w:r>
      <w:r>
        <w:t xml:space="preserve"> </w:t>
      </w:r>
      <w:r>
        <w:t xml:space="preserve">Brain Pathol</w:t>
      </w:r>
      <w:r>
        <w:t xml:space="preserve"> </w:t>
      </w:r>
      <w:r>
        <w:rPr>
          <w:b/>
        </w:rPr>
        <w:t xml:space="preserve">23</w:t>
      </w:r>
      <w:r>
        <w:t xml:space="preserve">(5): 495-514.</w:t>
      </w:r>
    </w:p>
    <w:p>
      <w:pPr>
        <w:pStyle w:val="BodyText"/>
      </w:pPr>
      <w:r>
        <w:t xml:space="preserve">12.  Mlika</w:t>
      </w:r>
      <w:r>
        <w:t xml:space="preserve"> </w:t>
      </w:r>
      <w:hyperlink r:id="rId36">
        <w:r>
          <w:rPr>
            <w:rStyle w:val="Hyperlink"/>
          </w:rPr>
          <w:t xml:space="preserve">https://www.ncbi.nlm.nih.gov/pmc/articles/PMC3047430/</w:t>
        </w:r>
      </w:hyperlink>
    </w:p>
    <w:p>
      <w:pPr>
        <w:pStyle w:val="BodyText"/>
      </w:pPr>
      <w:r>
        <w:t xml:space="preserve">13.  Borges, M. T., et al. (2011).</w:t>
      </w:r>
      <w:r>
        <w:t xml:space="preserve"> </w:t>
      </w:r>
      <w:r>
        <w:t xml:space="preserve">“</w:t>
      </w:r>
      <w:r>
        <w:t xml:space="preserve">Spindle cell oncocytoma with late</w:t>
      </w:r>
      <w:r>
        <w:t xml:space="preserve"> </w:t>
      </w:r>
      <w:r>
        <w:t xml:space="preserve">recurrence and unique neuroimaging characteristics due to recurrent</w:t>
      </w:r>
      <w:r>
        <w:t xml:space="preserve"> </w:t>
      </w:r>
      <w:r>
        <w:t xml:space="preserve">subclinical intratumoral bleeding.</w:t>
      </w:r>
      <w:r>
        <w:t xml:space="preserve">”</w:t>
      </w:r>
      <w:r>
        <w:t xml:space="preserve"> </w:t>
      </w:r>
      <w:r>
        <w:t xml:space="preserve">J Neurooncol</w:t>
      </w:r>
      <w:r>
        <w:t xml:space="preserve"> </w:t>
      </w:r>
      <w:r>
        <w:rPr>
          <w:b/>
        </w:rPr>
        <w:t xml:space="preserve">101</w:t>
      </w:r>
      <w:r>
        <w:t xml:space="preserve">(1):</w:t>
      </w:r>
      <w:r>
        <w:t xml:space="preserve"> </w:t>
      </w:r>
      <w:r>
        <w:t xml:space="preserve">145-154.</w:t>
      </w:r>
    </w:p>
    <w:p>
      <w:pPr>
        <w:pStyle w:val="BodyText"/>
      </w:pPr>
      <w:r>
        <w:t xml:space="preserve">14.  Cohen-Gadol, A. A., et al. (2003).</w:t>
      </w:r>
      <w:r>
        <w:t xml:space="preserve"> </w:t>
      </w:r>
      <w:r>
        <w:t xml:space="preserve">“</w:t>
      </w:r>
      <w:r>
        <w:t xml:space="preserve">Granular cell tumor of the</w:t>
      </w:r>
      <w:r>
        <w:t xml:space="preserve"> </w:t>
      </w:r>
      <w:r>
        <w:t xml:space="preserve">sellar and suprasellar region: clinicopathologic study of 11 cases and</w:t>
      </w:r>
      <w:r>
        <w:t xml:space="preserve"> </w:t>
      </w:r>
      <w:r>
        <w:t xml:space="preserve">literature review.</w:t>
      </w:r>
      <w:r>
        <w:t xml:space="preserve">”</w:t>
      </w:r>
      <w:r>
        <w:t xml:space="preserve"> </w:t>
      </w:r>
      <w:r>
        <w:t xml:space="preserve">Mayo Clin Proc</w:t>
      </w:r>
      <w:r>
        <w:t xml:space="preserve"> </w:t>
      </w:r>
      <w:r>
        <w:rPr>
          <w:b/>
        </w:rPr>
        <w:t xml:space="preserve">78</w:t>
      </w:r>
      <w:r>
        <w:t xml:space="preserve">(5): 567-573.</w:t>
      </w:r>
    </w:p>
    <w:p>
      <w:pPr>
        <w:pStyle w:val="BodyText"/>
      </w:pPr>
      <w:r>
        <w:t xml:space="preserve">15.  Ogiwara, H., et al. (2011).</w:t>
      </w:r>
      <w:r>
        <w:t xml:space="preserve"> </w:t>
      </w:r>
      <w:r>
        <w:t xml:space="preserve">“</w:t>
      </w:r>
      <w:r>
        <w:t xml:space="preserve">Spindle cell oncocytoma of the</w:t>
      </w:r>
      <w:r>
        <w:t xml:space="preserve"> </w:t>
      </w:r>
      <w:r>
        <w:t xml:space="preserve">pituitary and pituicytoma: Two tumors mimicking pituitary adenoma.</w:t>
      </w:r>
      <w:r>
        <w:t xml:space="preserve">”</w:t>
      </w:r>
      <w:r>
        <w:t xml:space="preserve"> </w:t>
      </w:r>
      <w:r>
        <w:t xml:space="preserve">Surg Neurol Int</w:t>
      </w:r>
      <w:r>
        <w:t xml:space="preserve"> </w:t>
      </w:r>
      <w:r>
        <w:rPr>
          <w:b/>
        </w:rPr>
        <w:t xml:space="preserve">2</w:t>
      </w:r>
      <w:r>
        <w:t xml:space="preserve">: 116.</w:t>
      </w:r>
    </w:p>
    <w:p>
      <w:pPr>
        <w:pStyle w:val="BodyText"/>
      </w:pPr>
      <w:r>
        <w:t xml:space="preserve">16.  Demssie, Y. N., et al. (2011).</w:t>
      </w:r>
      <w:r>
        <w:t xml:space="preserve"> </w:t>
      </w:r>
      <w:r>
        <w:t xml:space="preserve">“</w:t>
      </w:r>
      <w:r>
        <w:t xml:space="preserve">Recurrent spindle cell oncocytoma</w:t>
      </w:r>
      <w:r>
        <w:t xml:space="preserve"> </w:t>
      </w:r>
      <w:r>
        <w:t xml:space="preserve">of the pituitary, a case report and review of literature.</w:t>
      </w:r>
      <w:r>
        <w:t xml:space="preserve">”</w:t>
      </w:r>
      <w:r>
        <w:t xml:space="preserve"> </w:t>
      </w:r>
      <w:r>
        <w:t xml:space="preserve">Pituitary</w:t>
      </w:r>
      <w:r>
        <w:t xml:space="preserve"> </w:t>
      </w:r>
      <w:r>
        <w:rPr>
          <w:b/>
        </w:rPr>
        <w:t xml:space="preserve">14</w:t>
      </w:r>
      <w:r>
        <w:t xml:space="preserve">(4): 367-370.</w:t>
      </w:r>
    </w:p>
    <w:p>
      <w:pPr>
        <w:pStyle w:val="BodyText"/>
      </w:pPr>
      <w:r>
        <w:t xml:space="preserve">17.  Orning, J. L., et al. (2013).</w:t>
      </w:r>
      <w:r>
        <w:t xml:space="preserve"> </w:t>
      </w:r>
      <w:r>
        <w:t xml:space="preserve">“</w:t>
      </w:r>
      <w:r>
        <w:t xml:space="preserve">Endoscopic Endonasal Approach for</w:t>
      </w:r>
      <w:r>
        <w:t xml:space="preserve"> </w:t>
      </w:r>
      <w:r>
        <w:t xml:space="preserve">Resection of Infundibular Granular Cell Tumor: Case Report and</w:t>
      </w:r>
      <w:r>
        <w:t xml:space="preserve"> </w:t>
      </w:r>
      <w:r>
        <w:t xml:space="preserve">Literature Review.</w:t>
      </w:r>
      <w:r>
        <w:t xml:space="preserve">”</w:t>
      </w:r>
      <w:r>
        <w:t xml:space="preserve"> </w:t>
      </w:r>
      <w:r>
        <w:t xml:space="preserve">J Case Rep Med</w:t>
      </w:r>
      <w:r>
        <w:t xml:space="preserve"> </w:t>
      </w:r>
      <w:r>
        <w:rPr>
          <w:b/>
        </w:rPr>
        <w:t xml:space="preserve">2</w:t>
      </w:r>
      <w:r>
        <w:t xml:space="preserve">: 235775.</w:t>
      </w:r>
    </w:p>
    <w:p>
      <w:pPr>
        <w:pStyle w:val="BodyText"/>
      </w:pPr>
      <w:r>
        <w:t xml:space="preserve">18.  Nishio</w:t>
      </w:r>
      <w:r>
        <w:t xml:space="preserve"> </w:t>
      </w:r>
      <w:hyperlink r:id="rId37">
        <w:r>
          <w:rPr>
            <w:rStyle w:val="Hyperlink"/>
          </w:rPr>
          <w:t xml:space="preserve">https://www.sciencedirect.com/science/article/pii/S0303846798000171?via%3Dihub</w:t>
        </w:r>
      </w:hyperlink>
    </w:p>
    <w:p>
      <w:pPr>
        <w:pStyle w:val="BodyText"/>
      </w:pPr>
      <w:r>
        <w:br w:type="textWrapping"/>
      </w:r>
      <w:r>
        <w:t xml:space="preserve"> </w:t>
      </w:r>
    </w:p>
    <w:p>
      <w:pPr>
        <w:pStyle w:val="Heading1"/>
      </w:pPr>
      <w:bookmarkStart w:id="38" w:name="references-1"/>
      <w:bookmarkEnd w:id="38"/>
      <w:r>
        <w:t xml:space="preserve">References</w:t>
      </w:r>
    </w:p>
    <w:p>
      <w:pPr>
        <w:pStyle w:val="FirstParagraph"/>
      </w:pPr>
      <w:r>
        <w:t xml:space="preserve">Lopes, MBS. 2017.</w:t>
      </w:r>
      <w:r>
        <w:t xml:space="preserve"> </w:t>
      </w:r>
      <w:r>
        <w:t xml:space="preserve">“</w:t>
      </w:r>
      <w:r>
        <w:t xml:space="preserve">The 2017 World Health Organization Classification of Tumors of the Pituitary Gland: a Summary.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Acta Neuropathol</w:t>
      </w:r>
      <w:r>
        <w:t xml:space="preserve"> </w:t>
      </w:r>
      <w:r>
        <w:t xml:space="preserve">134: 521–35.</w:t>
      </w:r>
    </w:p>
    <w:p>
      <w:pPr>
        <w:pStyle w:val="BodyText"/>
      </w:pPr>
      <w:r>
        <w:t xml:space="preserve">Wolfe, SQ, J Bruce, and JJ Morcos. 2008.</w:t>
      </w:r>
      <w:r>
        <w:t xml:space="preserve"> </w:t>
      </w:r>
      <w:r>
        <w:t xml:space="preserve">“</w:t>
      </w:r>
      <w:r>
        <w:t xml:space="preserve">Pituicytoma: Case Report.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Neurosurgery</w:t>
      </w:r>
      <w:r>
        <w:t xml:space="preserve"> </w:t>
      </w:r>
      <w:r>
        <w:t xml:space="preserve">63: E173–4; discussion E174.</w:t>
      </w:r>
    </w:p>
    <w:p>
      <w:pPr>
        <w:pStyle w:val="BodyText"/>
      </w:pPr>
      <w:r>
        <w:t xml:space="preserve">Pirayesh, Islamian A, R Buslei, W Saeger, and R Fahlbusch. 2012.</w:t>
      </w:r>
      <w:r>
        <w:t xml:space="preserve"> </w:t>
      </w:r>
      <w:r>
        <w:t xml:space="preserve">“</w:t>
      </w:r>
      <w:r>
        <w:t xml:space="preserve">Pituicytoma: Overview of Treatment Strategies and Outcome.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Pituitary</w:t>
      </w:r>
      <w:r>
        <w:t xml:space="preserve"> </w:t>
      </w:r>
      <w:r>
        <w:t xml:space="preserve">15: 227–36.</w:t>
      </w:r>
    </w:p>
    <w:p>
      <w:pPr>
        <w:pStyle w:val="BodyText"/>
      </w:pPr>
      <w:r>
        <w:t xml:space="preserve">Zygourakis, CC, JD Rolston, HS Lee, C Partow, S Kunwar, and MK Aghi. 2015.</w:t>
      </w:r>
      <w:r>
        <w:t xml:space="preserve"> </w:t>
      </w:r>
      <w:r>
        <w:t xml:space="preserve">“</w:t>
      </w:r>
      <w:r>
        <w:t xml:space="preserve">Pituicytomas and Spindle Cell Oncocytomas: Modern Case Series from the University of California, San Francisco.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Pituitary</w:t>
      </w:r>
      <w:r>
        <w:t xml:space="preserve"> </w:t>
      </w:r>
      <w:r>
        <w:t xml:space="preserve">18: 150–58.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68f1b59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6" Target="media/rId26.png" /><Relationship Type="http://schemas.openxmlformats.org/officeDocument/2006/relationships/hyperlink" Id="rId35" Target="https://academic.oup.com/jnen/article/68/5/482/2917042" TargetMode="External" /><Relationship Type="http://schemas.openxmlformats.org/officeDocument/2006/relationships/hyperlink" Id="rId33" Target="https://www.ncbi.nlm.nih.gov/pmc/articles/PMC1929165/" TargetMode="External" /><Relationship Type="http://schemas.openxmlformats.org/officeDocument/2006/relationships/hyperlink" Id="rId36" Target="https://www.ncbi.nlm.nih.gov/pmc/articles/PMC3047430/" TargetMode="External" /><Relationship Type="http://schemas.openxmlformats.org/officeDocument/2006/relationships/hyperlink" Id="rId34" Target="https://www.ncbi.nlm.nih.gov/pubmed/12170092" TargetMode="External" /><Relationship Type="http://schemas.openxmlformats.org/officeDocument/2006/relationships/hyperlink" Id="rId37" Target="https://www.sciencedirect.com/science/article/pii/S0303846798000171?via%3Dihub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" Target="https://academic.oup.com/jnen/article/68/5/482/2917042" TargetMode="External" /><Relationship Type="http://schemas.openxmlformats.org/officeDocument/2006/relationships/hyperlink" Id="rId33" Target="https://www.ncbi.nlm.nih.gov/pmc/articles/PMC1929165/" TargetMode="External" /><Relationship Type="http://schemas.openxmlformats.org/officeDocument/2006/relationships/hyperlink" Id="rId36" Target="https://www.ncbi.nlm.nih.gov/pmc/articles/PMC3047430/" TargetMode="External" /><Relationship Type="http://schemas.openxmlformats.org/officeDocument/2006/relationships/hyperlink" Id="rId34" Target="https://www.ncbi.nlm.nih.gov/pubmed/12170092" TargetMode="External" /><Relationship Type="http://schemas.openxmlformats.org/officeDocument/2006/relationships/hyperlink" Id="rId37" Target="https://www.sciencedirect.com/science/article/pii/S0303846798000171?via%3Dihub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Rare TTF-1 positive tumors of the sellar region: Barrow Neurological Institute retrospective case series</dc:title>
  <dc:creator>Tyler S. Cole; Subodh Potla; william.white; david.barranco; andrew.little</dc:creator>
  <dcterms:created xsi:type="dcterms:W3CDTF">2018-09-07T18:04:34Z</dcterms:created>
  <dcterms:modified xsi:type="dcterms:W3CDTF">2018-09-07T18:04:34Z</dcterms:modified>
</cp:coreProperties>
</file>