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6.png" ContentType="image/png"/>
  <Override PartName="/word/media/rId37.png" ContentType="image/png"/>
  <Override PartName="/word/media/rId32.png" ContentType="image/png"/>
  <Override PartName="/word/media/rId33.png" ContentType="image/png"/>
  <Override PartName="/word/media/rId35.png" ContentType="image/png"/>
  <Override PartName="/word/media/rId25.png" ContentType="image/png"/>
  <Override PartName="/word/media/rId3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Biosensors</w:t>
      </w:r>
      <w:r>
        <w:t xml:space="preserve"> </w:t>
      </w:r>
      <w:r>
        <w:t xml:space="preserve">and</w:t>
      </w:r>
      <w:r>
        <w:t xml:space="preserve"> </w:t>
      </w:r>
      <w:r>
        <w:t xml:space="preserve">Bioelectronics</w:t>
      </w:r>
    </w:p>
    <w:p>
      <w:pPr>
        <w:pStyle w:val="Author"/>
      </w:pPr>
      <w:r>
        <w:t xml:space="preserve">Komal</w:t>
      </w:r>
      <w:r>
        <w:t xml:space="preserve"> </w:t>
      </w:r>
      <w:r>
        <w:t xml:space="preserve">Garde</w:t>
      </w:r>
    </w:p>
    <w:p>
      <w:pPr>
        <w:pStyle w:val="Author"/>
      </w:pPr>
      <w:r>
        <w:t xml:space="preserve">saravamu</w:t>
      </w:r>
    </w:p>
    <w:p>
      <w:pPr>
        <w:pStyle w:val="Author"/>
      </w:pPr>
      <w:r>
        <w:t xml:space="preserve">komu.garde</w:t>
      </w:r>
    </w:p>
    <w:p>
      <w:pPr>
        <w:pStyle w:val="Abstract"/>
      </w:pPr>
      <w:r>
        <w:t xml:space="preserve">This</w:t>
      </w:r>
      <w:r>
        <w:t xml:space="preserve"> </w:t>
      </w:r>
      <w:r>
        <w:t xml:space="preserve">paper</w:t>
      </w:r>
      <w:r>
        <w:t xml:space="preserve"> </w:t>
      </w:r>
      <w:r>
        <w:t xml:space="preserve">reports</w:t>
      </w:r>
      <w:r>
        <w:t xml:space="preserve"> </w:t>
      </w:r>
      <w:r>
        <w:t xml:space="preserve">on</w:t>
      </w:r>
      <w:r>
        <w:t xml:space="preserve"> </w:t>
      </w:r>
      <w:r>
        <w:t xml:space="preserve">a</w:t>
      </w:r>
      <w:r>
        <w:t xml:space="preserve"> </w:t>
      </w:r>
      <w:r>
        <w:t xml:space="preserve">minimal</w:t>
      </w:r>
      <w:r>
        <w:t xml:space="preserve"> </w:t>
      </w:r>
      <w:r>
        <w:t xml:space="preserve">growth</w:t>
      </w:r>
      <w:r>
        <w:t xml:space="preserve"> </w:t>
      </w:r>
      <w:r>
        <w:t xml:space="preserve">factor</w:t>
      </w:r>
      <w:r>
        <w:t xml:space="preserve"> </w:t>
      </w:r>
      <w:r>
        <w:t xml:space="preserve">and</w:t>
      </w:r>
      <w:r>
        <w:t xml:space="preserve"> </w:t>
      </w:r>
      <w:r>
        <w:t xml:space="preserve">clinical</w:t>
      </w:r>
      <w:r>
        <w:t xml:space="preserve"> </w:t>
      </w:r>
      <w:r>
        <w:t xml:space="preserve">translation</w:t>
      </w:r>
      <w:r>
        <w:t xml:space="preserve"> </w:t>
      </w:r>
      <w:r>
        <w:t xml:space="preserve">friendly</w:t>
      </w:r>
      <w:r>
        <w:t xml:space="preserve"> </w:t>
      </w:r>
      <w:r>
        <w:t xml:space="preserve">methodology</w:t>
      </w:r>
      <w:r>
        <w:t xml:space="preserve"> </w:t>
      </w:r>
      <w:r>
        <w:t xml:space="preserve">using</w:t>
      </w:r>
      <w:r>
        <w:t xml:space="preserve"> </w:t>
      </w:r>
      <w:r>
        <w:t xml:space="preserve">micromachined</w:t>
      </w:r>
      <w:r>
        <w:t xml:space="preserve"> </w:t>
      </w:r>
      <w:r>
        <w:t xml:space="preserve">penetrating</w:t>
      </w:r>
      <w:r>
        <w:t xml:space="preserve"> </w:t>
      </w:r>
      <w:r>
        <w:t xml:space="preserve">nanoelectrodes</w:t>
      </w:r>
      <w:r>
        <w:t xml:space="preserve"> </w:t>
      </w:r>
      <w:r>
        <w:t xml:space="preserve">to</w:t>
      </w:r>
      <w:r>
        <w:t xml:space="preserve"> </w:t>
      </w:r>
      <w:r>
        <w:t xml:space="preserve">differentiate</w:t>
      </w:r>
      <w:r>
        <w:t xml:space="preserve"> </w:t>
      </w:r>
      <w:r>
        <w:t xml:space="preserve">Adipose-Derived</w:t>
      </w:r>
      <w:r>
        <w:t xml:space="preserve"> </w:t>
      </w:r>
      <w:r>
        <w:t xml:space="preserve">Stem </w:t>
      </w:r>
      <w:r>
        <w:t xml:space="preserve"> </w:t>
      </w:r>
      <w:r>
        <w:t xml:space="preserve">Cells </w:t>
      </w:r>
      <w:r>
        <w:t xml:space="preserve"> </w:t>
      </w:r>
      <w:r>
        <w:t xml:space="preserve">(ADSCs) </w:t>
      </w:r>
      <w:r>
        <w:t xml:space="preserve"> </w:t>
      </w:r>
      <w:r>
        <w:t xml:space="preserve">into neuronal</w:t>
      </w:r>
      <w:r>
        <w:t xml:space="preserve"> </w:t>
      </w:r>
      <w:r>
        <w:t xml:space="preserve">lineage.</w:t>
      </w:r>
      <w:r>
        <w:t xml:space="preserve"> </w:t>
      </w:r>
      <w:r>
        <w:t xml:space="preserve">An</w:t>
      </w:r>
      <w:r>
        <w:t xml:space="preserve"> </w:t>
      </w:r>
      <w:r>
        <w:t xml:space="preserve">electrical</w:t>
      </w:r>
      <w:r>
        <w:t xml:space="preserve"> </w:t>
      </w:r>
      <w:r>
        <w:t xml:space="preserve">stimulus</w:t>
      </w:r>
      <w:r>
        <w:t xml:space="preserve"> </w:t>
      </w:r>
      <w:r>
        <w:t xml:space="preserve">is</w:t>
      </w:r>
      <w:r>
        <w:t xml:space="preserve"> </w:t>
      </w:r>
      <w:r>
        <w:t xml:space="preserve">delivered</w:t>
      </w:r>
      <w:r>
        <w:t xml:space="preserve"> </w:t>
      </w:r>
      <w:r>
        <w:t xml:space="preserve">via</w:t>
      </w:r>
      <w:r>
        <w:t xml:space="preserve"> </w:t>
      </w:r>
      <w:r>
        <w:t xml:space="preserve">penetrating</w:t>
      </w:r>
      <w:r>
        <w:t xml:space="preserve"> </w:t>
      </w:r>
      <w:r>
        <w:t xml:space="preserve">nanoelectrodes</w:t>
      </w:r>
      <w:r>
        <w:t xml:space="preserve"> </w:t>
      </w:r>
      <w:r>
        <w:t xml:space="preserve">to</w:t>
      </w:r>
      <w:r>
        <w:t xml:space="preserve"> </w:t>
      </w:r>
      <w:r>
        <w:t xml:space="preserve">differentiate</w:t>
      </w:r>
      <w:r>
        <w:t xml:space="preserve"> </w:t>
      </w:r>
      <w:r>
        <w:t xml:space="preserve">ADSCs</w:t>
      </w:r>
      <w:r>
        <w:t xml:space="preserve"> </w:t>
      </w:r>
      <w:r>
        <w:t xml:space="preserve">toward</w:t>
      </w:r>
      <w:r>
        <w:t xml:space="preserve"> </w:t>
      </w:r>
      <w:r>
        <w:t xml:space="preserve">neuronal</w:t>
      </w:r>
      <w:r>
        <w:t xml:space="preserve"> </w:t>
      </w:r>
      <w:r>
        <w:t xml:space="preserve">lineage</w:t>
      </w:r>
      <w:r>
        <w:t xml:space="preserve"> </w:t>
      </w:r>
      <w:r>
        <w:t xml:space="preserve">with</w:t>
      </w:r>
      <w:r>
        <w:t xml:space="preserve"> </w:t>
      </w:r>
      <w:r>
        <w:t xml:space="preserve">minimal</w:t>
      </w:r>
      <w:r>
        <w:t xml:space="preserve"> </w:t>
      </w:r>
      <w:r>
        <w:t xml:space="preserve">use</w:t>
      </w:r>
      <w:r>
        <w:t xml:space="preserve"> </w:t>
      </w:r>
      <w:r>
        <w:t xml:space="preserve">of</w:t>
      </w:r>
      <w:r>
        <w:t xml:space="preserve"> </w:t>
      </w:r>
      <w:r>
        <w:t xml:space="preserve">conventional</w:t>
      </w:r>
      <w:r>
        <w:t xml:space="preserve"> </w:t>
      </w:r>
      <w:r>
        <w:t xml:space="preserve">growth</w:t>
      </w:r>
      <w:r>
        <w:t xml:space="preserve"> </w:t>
      </w:r>
      <w:r>
        <w:t xml:space="preserve">factors,</w:t>
      </w:r>
      <w:r>
        <w:t xml:space="preserve"> </w:t>
      </w:r>
      <w:r>
        <w:t xml:space="preserve">genetic</w:t>
      </w:r>
      <w:r>
        <w:t xml:space="preserve"> </w:t>
      </w:r>
      <w:r>
        <w:t xml:space="preserve">manipulators,</w:t>
      </w:r>
      <w:r>
        <w:t xml:space="preserve"> </w:t>
      </w:r>
      <w:r>
        <w:t xml:space="preserve">cytokines</w:t>
      </w:r>
      <w:r>
        <w:t xml:space="preserve"> </w:t>
      </w:r>
      <w:r>
        <w:t xml:space="preserve">or</w:t>
      </w:r>
      <w:r>
        <w:t xml:space="preserve"> </w:t>
      </w:r>
      <w:r>
        <w:t xml:space="preserve">other</w:t>
      </w:r>
      <w:r>
        <w:t xml:space="preserve"> </w:t>
      </w:r>
      <w:r>
        <w:t xml:space="preserve">chemical</w:t>
      </w:r>
      <w:r>
        <w:t xml:space="preserve"> </w:t>
      </w:r>
      <w:r>
        <w:t xml:space="preserve">reagents.</w:t>
      </w:r>
      <w:r>
        <w:t xml:space="preserve"> </w:t>
      </w:r>
      <w:r>
        <w:t xml:space="preserve">The</w:t>
      </w:r>
      <w:r>
        <w:t xml:space="preserve"> </w:t>
      </w:r>
      <w:r>
        <w:t xml:space="preserve">paper</w:t>
      </w:r>
      <w:r>
        <w:t xml:space="preserve"> </w:t>
      </w:r>
      <w:r>
        <w:t xml:space="preserve">also</w:t>
      </w:r>
      <w:r>
        <w:t xml:space="preserve"> </w:t>
      </w:r>
      <w:r>
        <w:t xml:space="preserve">reports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time</w:t>
      </w:r>
      <w:r>
        <w:t xml:space="preserve"> </w:t>
      </w:r>
      <w:r>
        <w:t xml:space="preserve">dynamics</w:t>
      </w:r>
      <w:r>
        <w:t xml:space="preserve"> </w:t>
      </w:r>
      <w:r>
        <w:t xml:space="preserve">of</w:t>
      </w:r>
      <w:r>
        <w:t xml:space="preserve"> </w:t>
      </w:r>
      <w:r>
        <w:t xml:space="preserve">cell</w:t>
      </w:r>
      <w:r>
        <w:t xml:space="preserve"> </w:t>
      </w:r>
      <w:r>
        <w:t xml:space="preserve">penetration</w:t>
      </w:r>
      <w:r>
        <w:t xml:space="preserve"> </w:t>
      </w:r>
      <w:r>
        <w:t xml:space="preserve">process</w:t>
      </w:r>
      <w:r>
        <w:t xml:space="preserve"> </w:t>
      </w:r>
      <w:r>
        <w:t xml:space="preserve">using</w:t>
      </w:r>
      <w:r>
        <w:t xml:space="preserve"> </w:t>
      </w:r>
      <w:r>
        <w:t xml:space="preserve">the</w:t>
      </w:r>
      <w:r>
        <w:t xml:space="preserve"> </w:t>
      </w:r>
      <w:r>
        <w:t xml:space="preserve">nanoelectrodes</w:t>
      </w:r>
    </w:p>
    <w:p>
      <w:pPr>
        <w:pStyle w:val="Heading1"/>
      </w:pPr>
      <w:bookmarkStart w:id="21" w:name="keywords"/>
      <w:bookmarkEnd w:id="21"/>
      <w:r>
        <w:t xml:space="preserve">Keywords</w:t>
      </w:r>
    </w:p>
    <w:p>
      <w:pPr>
        <w:pStyle w:val="FirstParagraph"/>
      </w:pPr>
      <w:r>
        <w:t xml:space="preserve">Nanoelectrodes, electrical stimulation, stem cells</w:t>
      </w:r>
    </w:p>
    <w:p>
      <w:pPr>
        <w:pStyle w:val="Heading1"/>
      </w:pPr>
      <w:bookmarkStart w:id="22" w:name="introduction"/>
      <w:bookmarkEnd w:id="22"/>
      <w:r>
        <w:t xml:space="preserve">Introduction</w:t>
      </w:r>
    </w:p>
    <w:p>
      <w:pPr>
        <w:pStyle w:val="FirstParagraph"/>
      </w:pPr>
      <w:r>
        <w:t xml:space="preserve">Adipose-derived stem cells (ADSCs) have gained increasing attention in</w:t>
      </w:r>
      <w:r>
        <w:t xml:space="preserve"> </w:t>
      </w:r>
      <w:r>
        <w:t xml:space="preserve">the recent times, for regenerative medicine and tissue engineering</w:t>
      </w:r>
      <w:r>
        <w:t xml:space="preserve"> </w:t>
      </w:r>
      <w:r>
        <w:t xml:space="preserve">applications due to their high proliferative capacity, multi-lineage</w:t>
      </w:r>
      <w:r>
        <w:t xml:space="preserve"> </w:t>
      </w:r>
      <w:r>
        <w:t xml:space="preserve">potential and ease in harvesting compared to other stem cells</w:t>
      </w:r>
      <w:r>
        <w:t xml:space="preserve"> </w:t>
      </w:r>
      <w:r>
        <w:t xml:space="preserve">[</w:t>
      </w:r>
      <w:r>
        <w:t xml:space="preserve">1</w:t>
      </w:r>
      <w:r>
        <w:t xml:space="preserve">]</w:t>
      </w:r>
      <w:r>
        <w:t xml:space="preserve">.</w:t>
      </w:r>
      <w:r>
        <w:t xml:space="preserve"> </w:t>
      </w:r>
      <w:r>
        <w:t xml:space="preserve">Similarly, penetrating nanoelectrodes that can interface or assess the</w:t>
      </w:r>
      <w:r>
        <w:t xml:space="preserve"> </w:t>
      </w:r>
      <w:r>
        <w:t xml:space="preserve">interior of the cell, without causing cell damage are increasingly being</w:t>
      </w:r>
      <w:r>
        <w:t xml:space="preserve"> </w:t>
      </w:r>
      <w:r>
        <w:t xml:space="preserve">used as biosensors and for cell interrogation studies</w:t>
      </w:r>
      <w:r>
        <w:t xml:space="preserve"> </w:t>
      </w:r>
      <w:r>
        <w:t xml:space="preserve">[</w:t>
      </w:r>
      <w:r>
        <w:t xml:space="preserve">2, 3</w:t>
      </w:r>
      <w:r>
        <w:t xml:space="preserve">]</w:t>
      </w:r>
      <w:r>
        <w:t xml:space="preserve">. In</w:t>
      </w:r>
      <w:r>
        <w:t xml:space="preserve"> </w:t>
      </w:r>
      <w:r>
        <w:t xml:space="preserve">this work, for the first time, we show that (a) silicon</w:t>
      </w:r>
      <w:r>
        <w:t xml:space="preserve"> </w:t>
      </w:r>
      <w:r>
        <w:t xml:space="preserve">nanopillars/nanoelectrodes of optimized size and shape can penetrate</w:t>
      </w:r>
      <w:r>
        <w:t xml:space="preserve"> </w:t>
      </w:r>
      <w:r>
        <w:t xml:space="preserve">ADSCs without any loss of cellular function and (b) electrical stimulus</w:t>
      </w:r>
      <w:r>
        <w:t xml:space="preserve"> </w:t>
      </w:r>
      <w:r>
        <w:t xml:space="preserve">can be applied through the penetrating electrodes to differentiate ADSCs</w:t>
      </w:r>
      <w:r>
        <w:t xml:space="preserve"> </w:t>
      </w:r>
      <w:r>
        <w:t xml:space="preserve">into neuronal lineages. ADSCs are generally differentiated into neurons</w:t>
      </w:r>
      <w:r>
        <w:t xml:space="preserve"> </w:t>
      </w:r>
      <w:r>
        <w:t xml:space="preserve">by using growth factors, genetic manipulators, cytokines and/or other</w:t>
      </w:r>
      <w:r>
        <w:t xml:space="preserve"> </w:t>
      </w:r>
      <w:r>
        <w:t xml:space="preserve">chemical reagents</w:t>
      </w:r>
      <w:r>
        <w:t xml:space="preserve"> </w:t>
      </w:r>
      <w:r>
        <w:t xml:space="preserve">[</w:t>
      </w:r>
      <w:r>
        <w:t xml:space="preserve">4</w:t>
      </w:r>
      <w:r>
        <w:t xml:space="preserve">]</w:t>
      </w:r>
      <w:r>
        <w:t xml:space="preserve">. However, there are many issues associated</w:t>
      </w:r>
      <w:r>
        <w:t xml:space="preserve"> </w:t>
      </w:r>
      <w:r>
        <w:t xml:space="preserve">with the use of chemical reagents, including problems in translational</w:t>
      </w:r>
      <w:r>
        <w:t xml:space="preserve"> </w:t>
      </w:r>
      <w:r>
        <w:t xml:space="preserve">studies, cell toxicity and induced cell stress</w:t>
      </w:r>
      <w:r>
        <w:t xml:space="preserve"> </w:t>
      </w:r>
      <w:r>
        <w:t xml:space="preserve">[</w:t>
      </w:r>
      <w:r>
        <w:t xml:space="preserve">5</w:t>
      </w:r>
      <w:r>
        <w:t xml:space="preserve">]</w:t>
      </w:r>
      <w:r>
        <w:t xml:space="preserve">. On the other</w:t>
      </w:r>
      <w:r>
        <w:t xml:space="preserve"> </w:t>
      </w:r>
      <w:r>
        <w:t xml:space="preserve">hand, endogenous electrical stimulus, which plays many important roles</w:t>
      </w:r>
      <w:r>
        <w:t xml:space="preserve"> </w:t>
      </w:r>
      <w:r>
        <w:t xml:space="preserve">in physiological processes, can modulate or control biological processes</w:t>
      </w:r>
      <w:r>
        <w:t xml:space="preserve"> </w:t>
      </w:r>
      <w:r>
        <w:t xml:space="preserve">including cell migration, orientation, and differentiation</w:t>
      </w:r>
      <w:r>
        <w:t xml:space="preserve"> </w:t>
      </w:r>
      <w:r>
        <w:t xml:space="preserve">[</w:t>
      </w:r>
      <w:r>
        <w:t xml:space="preserve">6</w:t>
      </w:r>
      <w:r>
        <w:t xml:space="preserve">]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3" w:name="materials-and-methods"/>
      <w:bookmarkEnd w:id="23"/>
      <w:r>
        <w:t xml:space="preserve">Materials and Methods</w:t>
      </w:r>
    </w:p>
    <w:p>
      <w:pPr>
        <w:pStyle w:val="Heading2"/>
      </w:pPr>
      <w:bookmarkStart w:id="24" w:name="nanopillars-design-and-fabrication"/>
      <w:bookmarkEnd w:id="24"/>
      <w:r>
        <w:t xml:space="preserve">Nanopillars design and</w:t>
      </w:r>
      <w:r>
        <w:t xml:space="preserve"> </w:t>
      </w:r>
      <w:r>
        <w:t xml:space="preserve">fabrication</w:t>
      </w:r>
    </w:p>
    <w:p>
      <w:pPr>
        <w:pStyle w:val="FirstParagraph"/>
      </w:pPr>
      <w:r>
        <w:t xml:space="preserve">The nanoelectrodes (nanopillars/nanofins) were designed to overcome the</w:t>
      </w:r>
      <w:r>
        <w:t xml:space="preserve"> </w:t>
      </w:r>
      <w:r>
        <w:t xml:space="preserve">trade-offs between electrode impedance and electrode size. Compared to</w:t>
      </w:r>
      <w:r>
        <w:t xml:space="preserve"> </w:t>
      </w:r>
      <w:r>
        <w:t xml:space="preserve">conventional 3 x 3 array of 150nm diameter nanowire electrodes</w:t>
      </w:r>
      <w:r>
        <w:t xml:space="preserve"> </w:t>
      </w:r>
      <w:r>
        <w:t xml:space="preserve">[</w:t>
      </w:r>
      <w:r>
        <w:t xml:space="preserve">2.</w:t>
      </w:r>
      <w:r>
        <w:t xml:space="preserve"> </w:t>
      </w:r>
      <w:r>
        <w:t xml:space="preserve">3</w:t>
      </w:r>
      <w:r>
        <w:t xml:space="preserve">]</w:t>
      </w:r>
      <w:r>
        <w:t xml:space="preserve">, the current nanoelectrodes were designed to reduce electrode</w:t>
      </w:r>
      <w:r>
        <w:t xml:space="preserve"> </w:t>
      </w:r>
      <w:r>
        <w:t xml:space="preserve">impedance by a factor of 20 due to a large capacitance and small charge</w:t>
      </w:r>
      <w:r>
        <w:t xml:space="preserve"> </w:t>
      </w:r>
      <w:r>
        <w:t xml:space="preserve">transfer resistance, while maintaining minimal cell damage. The</w:t>
      </w:r>
      <w:r>
        <w:t xml:space="preserve"> </w:t>
      </w:r>
      <w:r>
        <w:t xml:space="preserve">fabrication of nanoelectrodes or nanopillars starts on single crystal</w:t>
      </w:r>
      <w:r>
        <w:t xml:space="preserve"> </w:t>
      </w:r>
      <w:r>
        <w:t xml:space="preserve">silicon wafer followed by a series of lithographic patterning,</w:t>
      </w:r>
      <w:r>
        <w:t xml:space="preserve"> </w:t>
      </w:r>
      <w:r>
        <w:t xml:space="preserve">deposition and etching steps, as shown in Fig. 1. The dimensions of the</w:t>
      </w:r>
      <w:r>
        <w:t xml:space="preserve"> </w:t>
      </w:r>
      <w:r>
        <w:t xml:space="preserve">nanopillars were tuned to give desired height, width, and thickness at</w:t>
      </w:r>
      <w:r>
        <w:t xml:space="preserve"> </w:t>
      </w:r>
      <w:r>
        <w:t xml:space="preserve">the tip. The density of the nanopillars was varied between</w:t>
      </w:r>
      <w:r>
        <w:t xml:space="preserve"> </w:t>
      </w:r>
      <w:r>
        <w:t xml:space="preserve">4.8x10</w:t>
      </w:r>
      <w:r>
        <w:rPr>
          <w:vertAlign w:val="superscript"/>
        </w:rPr>
        <w:t xml:space="preserve">3</w:t>
      </w:r>
      <w:r>
        <w:t xml:space="preserve"> </w:t>
      </w:r>
      <w:r>
        <w:t xml:space="preserve">and 8.3x10</w:t>
      </w:r>
      <w:r>
        <w:rPr>
          <w:vertAlign w:val="superscript"/>
        </w:rPr>
        <w:t xml:space="preserve">3</w:t>
      </w:r>
      <w:r>
        <w:t xml:space="preserve"> </w:t>
      </w:r>
      <w:r>
        <w:t xml:space="preserve">pillars/cm</w:t>
      </w:r>
      <w:r>
        <w:rPr>
          <w:vertAlign w:val="superscript"/>
        </w:rPr>
        <w:t xml:space="preserve">2</w:t>
      </w:r>
      <w:r>
        <w:t xml:space="preserve">, and the tip dimension ranged from 100nm x</w:t>
      </w:r>
      <w:r>
        <w:t xml:space="preserve"> </w:t>
      </w:r>
      <w:r>
        <w:t xml:space="preserve">100nm to 100nm x 7.5µm. The height of the nanopillars was maintained at</w:t>
      </w:r>
      <w:r>
        <w:t xml:space="preserve"> </w:t>
      </w:r>
      <w:r>
        <w:t xml:space="preserve">a constant height. </w:t>
      </w:r>
    </w:p>
    <w:p>
      <w:pPr>
        <w:pStyle w:val="FigureWithCaption"/>
      </w:pPr>
      <w:r>
        <w:drawing>
          <wp:inline>
            <wp:extent cx="1639200" cy="566400"/>
            <wp:effectExtent b="0" l="0" r="0" t="0"/>
            <wp:docPr descr="Process flow of nano electrode fabrication. (a) Deposition of aluminium (b)Spin photoresist (c) Expose and develop photoresist (d) Aluminium wet etch (e) Anisotropic etch (f) Isotropic etch (g) Lift off " title="" id="1" name="Picture"/>
            <a:graphic>
              <a:graphicData uri="http://schemas.openxmlformats.org/drawingml/2006/picture">
                <pic:pic>
                  <pic:nvPicPr>
                    <pic:cNvPr descr="figures/process-flow/process-flo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56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Process flow of nano electrode fabrication. (a) Deposition of aluminium</w:t>
      </w:r>
      <w:r>
        <w:t xml:space="preserve"> </w:t>
      </w:r>
      <w:r>
        <w:t xml:space="preserve">(b)Spin photoresist (c) Expose and develop photoresist (d) Aluminium wet</w:t>
      </w:r>
      <w:r>
        <w:t xml:space="preserve"> </w:t>
      </w:r>
      <w:r>
        <w:t xml:space="preserve">etch (e) Anisotropic etch (f) Isotropic etch (g) Lift off</w:t>
      </w:r>
      <w:r>
        <w:t xml:space="preserve"> </w:t>
      </w:r>
    </w:p>
    <w:p>
      <w:pPr>
        <w:pStyle w:val="BodyText"/>
      </w:pPr>
      <w:r>
        <w:t xml:space="preserve">The fabrication sequence is described below. First, a p-type 4-inch</w:t>
      </w:r>
      <w:r>
        <w:t xml:space="preserve"> </w:t>
      </w:r>
      <w:r>
        <w:t xml:space="preserve">wafer was RCA cleaned and then a layer of aluminum or gold was deposited</w:t>
      </w:r>
      <w:r>
        <w:t xml:space="preserve"> </w:t>
      </w:r>
      <w:r>
        <w:t xml:space="preserve">(Fig.1a). This was followed by lithographic patterning (Fig. 1c) and</w:t>
      </w:r>
      <w:r>
        <w:t xml:space="preserve"> </w:t>
      </w:r>
      <w:r>
        <w:t xml:space="preserve">removal of undesired metal (Fig. 1d). Each 4-inch Si wafer has about 13</w:t>
      </w:r>
      <w:r>
        <w:t xml:space="preserve"> </w:t>
      </w:r>
      <w:r>
        <w:t xml:space="preserve">nanopillar arrays. Next, silicon is dry etched on Lam Rainbow 4400</w:t>
      </w:r>
      <w:r>
        <w:t xml:space="preserve"> </w:t>
      </w:r>
      <w:r>
        <w:t xml:space="preserve">Reactive Ion Etch System. Silicon etching was carried in two steps. The</w:t>
      </w:r>
      <w:r>
        <w:t xml:space="preserve"> </w:t>
      </w:r>
      <w:r>
        <w:t xml:space="preserve">anisotropic vertical etch (Fig. 1e) was followed by isotropic etch to</w:t>
      </w:r>
      <w:r>
        <w:t xml:space="preserve"> </w:t>
      </w:r>
      <w:r>
        <w:t xml:space="preserve">get the desired undercutting effect. For anisotropic etch,</w:t>
      </w:r>
      <w:r>
        <w:t xml:space="preserve"> </w:t>
      </w:r>
      <w:r>
        <w:t xml:space="preserve">SF</w:t>
      </w:r>
      <w:r>
        <w:rPr>
          <w:vertAlign w:val="subscript"/>
        </w:rPr>
        <w:t xml:space="preserve">6</w:t>
      </w:r>
      <w:r>
        <w:t xml:space="preserve">  and RFB were used at low pressure (Fig. 1e), while</w:t>
      </w:r>
      <w:r>
        <w:t xml:space="preserve"> </w:t>
      </w:r>
      <w:r>
        <w:t xml:space="preserve">for isotropic etch, SF6  and high RFB were used at high pressure (Fig.</w:t>
      </w:r>
      <w:r>
        <w:t xml:space="preserve"> </w:t>
      </w:r>
      <w:r>
        <w:t xml:space="preserve">1f). Next, photoresist and metal were etched (Fig. 1g). Finally, a thin</w:t>
      </w:r>
      <w:r>
        <w:t xml:space="preserve"> </w:t>
      </w:r>
      <w:r>
        <w:t xml:space="preserve">layer of Au was deposited for electrode stimulation studies (Not shown</w:t>
      </w:r>
      <w:r>
        <w:t xml:space="preserve"> </w:t>
      </w:r>
      <w:r>
        <w:t xml:space="preserve">in Fig 1).</w:t>
      </w:r>
    </w:p>
    <w:p>
      <w:pPr>
        <w:pStyle w:val="Heading2"/>
      </w:pPr>
      <w:bookmarkStart w:id="26" w:name="cell-culture"/>
      <w:bookmarkEnd w:id="26"/>
      <w:r>
        <w:t xml:space="preserve">Cell culture</w:t>
      </w:r>
    </w:p>
    <w:p>
      <w:pPr>
        <w:pStyle w:val="FirstParagraph"/>
      </w:pPr>
      <w:r>
        <w:t xml:space="preserve">The precise placement of cells on the nanoelectrodes is a challenging</w:t>
      </w:r>
      <w:r>
        <w:t xml:space="preserve"> </w:t>
      </w:r>
      <w:r>
        <w:t xml:space="preserve">process. After surface functionalization with silane coupling (uncoated</w:t>
      </w:r>
      <w:r>
        <w:t xml:space="preserve"> </w:t>
      </w:r>
      <w:r>
        <w:t xml:space="preserve">Si) or thiol chemistry (Au nanoelectrodes), cells are cultured on the</w:t>
      </w:r>
      <w:r>
        <w:t xml:space="preserve"> </w:t>
      </w:r>
      <w:r>
        <w:t xml:space="preserve">nanoelectrodes. Three different cells were tested on the silicon</w:t>
      </w:r>
      <w:r>
        <w:t xml:space="preserve"> </w:t>
      </w:r>
      <w:r>
        <w:t xml:space="preserve">nanopillar arrays.  First,  NIH 3T3  cells were cultured in  Dulbecco’s</w:t>
      </w:r>
      <w:r>
        <w:t xml:space="preserve"> </w:t>
      </w:r>
      <w:r>
        <w:t xml:space="preserve">modified Eagle’s medium (DMEM) containing 10% Fetal Bovine  Serum </w:t>
      </w:r>
      <w:r>
        <w:t xml:space="preserve"> </w:t>
      </w:r>
      <w:r>
        <w:t xml:space="preserve">(FBS)  and  1%  antibiotic/antimycotic. 3T3 cells were seeded at a</w:t>
      </w:r>
      <w:r>
        <w:t xml:space="preserve"> </w:t>
      </w:r>
      <w:r>
        <w:t xml:space="preserve">density of 5,000 cells/cm2. </w:t>
      </w:r>
    </w:p>
    <w:p>
      <w:pPr>
        <w:pStyle w:val="BodyText"/>
      </w:pPr>
      <w:r>
        <w:t xml:space="preserve">Next, PC12 cells were grown in RPMI supplemented with 10%  heat</w:t>
      </w:r>
      <w:r>
        <w:t xml:space="preserve"> </w:t>
      </w:r>
      <w:r>
        <w:t xml:space="preserve">activated horse serum,  5% calf serum and 1% penicillin and</w:t>
      </w:r>
      <w:r>
        <w:t xml:space="preserve"> </w:t>
      </w:r>
      <w:r>
        <w:t xml:space="preserve">streptomycin. After PC12 cells were seeded at a density of 10,000</w:t>
      </w:r>
      <w:r>
        <w:t xml:space="preserve"> </w:t>
      </w:r>
      <w:r>
        <w:t xml:space="preserve">cells/cm2  on the nanopillars, differentiation was carried out using</w:t>
      </w:r>
      <w:r>
        <w:t xml:space="preserve"> </w:t>
      </w:r>
      <w:r>
        <w:t xml:space="preserve">nerve growth factor (NGF) alone or NGF along with electrical</w:t>
      </w:r>
      <w:r>
        <w:t xml:space="preserve"> </w:t>
      </w:r>
      <w:r>
        <w:t xml:space="preserve">stimulation.</w:t>
      </w:r>
    </w:p>
    <w:p>
      <w:pPr>
        <w:pStyle w:val="BodyText"/>
      </w:pPr>
      <w:r>
        <w:t xml:space="preserve">Finally, Adipose-derived stem cells (ADSCs) were cultured in DMEM/Ham’s</w:t>
      </w:r>
      <w:r>
        <w:t xml:space="preserve"> </w:t>
      </w:r>
      <w:r>
        <w:t xml:space="preserve">F-12 medium with 10% FBS and 1% Penstrap. For neurogenic</w:t>
      </w:r>
      <w:r>
        <w:t xml:space="preserve"> </w:t>
      </w:r>
      <w:r>
        <w:t xml:space="preserve">differentiation of ADSC, (a) the stromal media was replaced by</w:t>
      </w:r>
      <w:r>
        <w:t xml:space="preserve"> </w:t>
      </w:r>
      <w:r>
        <w:t xml:space="preserve">pre-induction medium (DMEM, 20% FBS, and 1nM beta-mercaptoethanol) for</w:t>
      </w:r>
      <w:r>
        <w:t xml:space="preserve"> </w:t>
      </w:r>
      <w:r>
        <w:t xml:space="preserve">up to</w:t>
      </w:r>
    </w:p>
    <w:p>
      <w:pPr>
        <w:pStyle w:val="BodyText"/>
      </w:pPr>
      <w:r>
        <w:t xml:space="preserve">24 hours followed by induction medium (DMEM/2% DMSO/200uM BHA) for up</w:t>
      </w:r>
      <w:r>
        <w:t xml:space="preserve"> </w:t>
      </w:r>
      <w:r>
        <w:t xml:space="preserve">to two weeks or (2) a regime electrical stimulation protocol (as</w:t>
      </w:r>
      <w:r>
        <w:t xml:space="preserve"> </w:t>
      </w:r>
      <w:r>
        <w:t xml:space="preserve">described below) was used to facilitate conventional induction medium</w:t>
      </w:r>
      <w:r>
        <w:t xml:space="preserve"> </w:t>
      </w:r>
      <w:r>
        <w:t xml:space="preserve">based differentiation.</w:t>
      </w:r>
    </w:p>
    <w:p>
      <w:pPr>
        <w:pStyle w:val="Heading2"/>
      </w:pPr>
      <w:bookmarkStart w:id="27" w:name="electrical-stimulation-protocol"/>
      <w:bookmarkEnd w:id="27"/>
      <w:r>
        <w:t xml:space="preserve">Electrical stimulation</w:t>
      </w:r>
      <w:r>
        <w:t xml:space="preserve"> </w:t>
      </w:r>
      <w:r>
        <w:t xml:space="preserve">protocol</w:t>
      </w:r>
    </w:p>
    <w:p>
      <w:pPr>
        <w:pStyle w:val="FirstParagraph"/>
      </w:pPr>
      <w:r>
        <w:t xml:space="preserve">For cell differentiation, the DC stimuli were optimized. The pulsed DC</w:t>
      </w:r>
      <w:r>
        <w:t xml:space="preserve"> </w:t>
      </w:r>
      <w:r>
        <w:t xml:space="preserve">stimuli were in the range of 100 mV/cm field strength with monophasic</w:t>
      </w:r>
      <w:r>
        <w:t xml:space="preserve"> </w:t>
      </w:r>
      <w:r>
        <w:t xml:space="preserve">100 ms square pulse and 1 Hz frequency.</w:t>
      </w:r>
    </w:p>
    <w:p>
      <w:pPr>
        <w:pStyle w:val="BodyText"/>
      </w:pPr>
      <w:r>
        <w:t xml:space="preserve">  </w:t>
      </w:r>
    </w:p>
    <w:p>
      <w:pPr>
        <w:pStyle w:val="Heading2"/>
      </w:pPr>
      <w:bookmarkStart w:id="28" w:name="immunofluorescence-staining"/>
      <w:bookmarkEnd w:id="28"/>
      <w:r>
        <w:t xml:space="preserve">Immunofluorescence</w:t>
      </w:r>
      <w:r>
        <w:t xml:space="preserve"> </w:t>
      </w:r>
      <w:r>
        <w:t xml:space="preserve">staining</w:t>
      </w:r>
    </w:p>
    <w:p>
      <w:pPr>
        <w:pStyle w:val="FirstParagraph"/>
      </w:pPr>
      <w:r>
        <w:t xml:space="preserve">Cells were fixed with 4% paraformaldehyde in PBS for 15 min, washed</w:t>
      </w:r>
      <w:r>
        <w:t xml:space="preserve"> </w:t>
      </w:r>
      <w:r>
        <w:t xml:space="preserve">thrice with PBS solution, and subsequently permeabilized in 0.25%</w:t>
      </w:r>
      <w:r>
        <w:t xml:space="preserve"> </w:t>
      </w:r>
      <w:r>
        <w:t xml:space="preserve">Triton X solution for 15 minutes. Before staining, all the samples were</w:t>
      </w:r>
      <w:r>
        <w:t xml:space="preserve"> </w:t>
      </w:r>
      <w:r>
        <w:t xml:space="preserve">blocked using 1% BSA in PBS for one hour. The samples were then</w:t>
      </w:r>
      <w:r>
        <w:t xml:space="preserve"> </w:t>
      </w:r>
      <w:r>
        <w:t xml:space="preserve">incubated with</w:t>
      </w:r>
    </w:p>
    <w:p>
      <w:pPr>
        <w:pStyle w:val="BodyText"/>
      </w:pPr>
      <w:r>
        <w:t xml:space="preserve">Actin green and DAPI to visualize actin and nuclei respectively.  To</w:t>
      </w:r>
      <w:r>
        <w:t xml:space="preserve"> </w:t>
      </w:r>
      <w:r>
        <w:t xml:space="preserve">validate the differentiation process,  gene expression markers</w:t>
      </w:r>
      <w:r>
        <w:t xml:space="preserve"> </w:t>
      </w:r>
      <w:r>
        <w:t xml:space="preserve">and morphological changes were monitored.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29" w:name="electron-microscopy"/>
      <w:bookmarkEnd w:id="29"/>
      <w:r>
        <w:t xml:space="preserve">Electron Microscopy</w:t>
      </w:r>
    </w:p>
    <w:p>
      <w:pPr>
        <w:pStyle w:val="FirstParagraph"/>
      </w:pPr>
      <w:r>
        <w:t xml:space="preserve">Cells were fixed overnight at 4</w:t>
      </w:r>
      <w:r>
        <w:rPr>
          <w:vertAlign w:val="superscript"/>
        </w:rPr>
        <w:t xml:space="preserve">o</w:t>
      </w:r>
      <w:r>
        <w:t xml:space="preserve">C  using a fixative</w:t>
      </w:r>
      <w:r>
        <w:t xml:space="preserve"> </w:t>
      </w:r>
      <w:r>
        <w:t xml:space="preserve">solution that comprises 25% of 0.4M cacodylate buffer, </w:t>
      </w:r>
      <w:r>
        <w:t xml:space="preserve">12.5% of 16%</w:t>
      </w:r>
      <w:r>
        <w:t xml:space="preserve"> </w:t>
      </w:r>
      <w:r>
        <w:t xml:space="preserve">formaldehyde, 10% of 25% glutaraldehyde and the rest being water. The</w:t>
      </w:r>
      <w:r>
        <w:t xml:space="preserve"> </w:t>
      </w:r>
      <w:r>
        <w:t xml:space="preserve">cells are then washed thrice with water and dehydrated using increasing</w:t>
      </w:r>
      <w:r>
        <w:t xml:space="preserve"> </w:t>
      </w:r>
      <w:r>
        <w:t xml:space="preserve">concentration of acetonitrile. The samples are then mounted on stubs</w:t>
      </w:r>
      <w:r>
        <w:t xml:space="preserve"> </w:t>
      </w:r>
      <w:r>
        <w:t xml:space="preserve">using carbon tape and sputter-coated with 5nm of gold-palladium. </w:t>
      </w:r>
    </w:p>
    <w:p>
      <w:pPr>
        <w:pStyle w:val="Heading2"/>
      </w:pPr>
      <w:bookmarkStart w:id="30" w:name="electricalstimulation"/>
      <w:bookmarkEnd w:id="30"/>
      <w:r>
        <w:t xml:space="preserve">Electrical Stimulation</w:t>
      </w:r>
    </w:p>
    <w:p>
      <w:pPr>
        <w:pStyle w:val="FirstParagraph"/>
      </w:pPr>
      <w:r>
        <w:t xml:space="preserve">Various ES parameters in combination with chemical induction were</w:t>
      </w:r>
      <w:r>
        <w:t xml:space="preserve"> </w:t>
      </w:r>
      <w:r>
        <w:t xml:space="preserve">studied. For ES, 5mm x 5mm array of nanofins were used after coating</w:t>
      </w:r>
      <w:r>
        <w:t xml:space="preserve"> </w:t>
      </w:r>
      <w:r>
        <w:t xml:space="preserve">them with gold. ADSC cells were seeded on to of the nanofins at an</w:t>
      </w:r>
      <w:r>
        <w:t xml:space="preserve"> </w:t>
      </w:r>
      <w:r>
        <w:t xml:space="preserve">initial seeding density of 30,000cells/cm2 with the help of a 10mm</w:t>
      </w:r>
      <w:r>
        <w:t xml:space="preserve"> </w:t>
      </w:r>
      <w:r>
        <w:t xml:space="preserve">cloning cylinder. Parameters ranging from 50mV to 500mV were studied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31" w:name="results"/>
      <w:bookmarkEnd w:id="31"/>
      <w:r>
        <w:t xml:space="preserve">Results</w:t>
      </w:r>
    </w:p>
    <w:p>
      <w:pPr>
        <w:pStyle w:val="FirstParagraph"/>
      </w:pPr>
      <w:r>
        <w:rPr>
          <w:i/>
        </w:rPr>
        <w:t xml:space="preserve">A.  Nanopillars fabrication</w:t>
      </w:r>
    </w:p>
    <w:p>
      <w:pPr>
        <w:pStyle w:val="BodyText"/>
      </w:pPr>
      <w:r>
        <w:t xml:space="preserve">Arrays of 5mm x 5mm were fabricated, as described in the experimental</w:t>
      </w:r>
      <w:r>
        <w:t xml:space="preserve"> </w:t>
      </w:r>
      <w:r>
        <w:t xml:space="preserve">methods section. Optimized fabrication methodology allowed for tunable</w:t>
      </w:r>
      <w:r>
        <w:t xml:space="preserve"> </w:t>
      </w:r>
      <w:r>
        <w:t xml:space="preserve">geometry with control over nanopillar density, tip diameter, height as</w:t>
      </w:r>
      <w:r>
        <w:t xml:space="preserve"> </w:t>
      </w:r>
      <w:r>
        <w:t xml:space="preserve">shown in Table 1. The density of the pillars was controlled using</w:t>
      </w:r>
      <w:r>
        <w:t xml:space="preserve"> </w:t>
      </w:r>
      <w:r>
        <w:t xml:space="preserve">appropriate mask patterning, while the height of the pillars was</w:t>
      </w:r>
      <w:r>
        <w:t xml:space="preserve"> </w:t>
      </w:r>
      <w:r>
        <w:t xml:space="preserve">controlled in the RIE. The tip diameter was controlled within few tens</w:t>
      </w:r>
      <w:r>
        <w:t xml:space="preserve"> </w:t>
      </w:r>
      <w:r>
        <w:t xml:space="preserve">of nanometers by an optimized combination of anisotropic and isotropic</w:t>
      </w:r>
      <w:r>
        <w:t xml:space="preserve"> </w:t>
      </w:r>
      <w:r>
        <w:t xml:space="preserve">etch. The sharpness of tip is crucial to increase the probability of</w:t>
      </w:r>
      <w:r>
        <w:t xml:space="preserve"> </w:t>
      </w:r>
      <w:r>
        <w:t xml:space="preserve">cell penetration.</w:t>
      </w:r>
    </w:p>
    <w:p>
      <w:pPr>
        <w:pStyle w:val="BodyText"/>
      </w:pPr>
      <w:r>
        <w:t xml:space="preserve">Table 1. Variation in Nanoelectrode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jc w:val="left"/>
            </w:pPr>
            <w:r>
              <w:t xml:space="preserve"> </w:t>
            </w:r>
          </w:p>
        </w:tc>
        <w:tc>
          <w:p>
            <w:pPr>
              <w:jc w:val="left"/>
            </w:pPr>
            <w:r>
              <w:rPr>
                <w:b/>
              </w:rPr>
              <w:t xml:space="preserve">Nanopillar - 1</w:t>
            </w:r>
          </w:p>
        </w:tc>
        <w:tc>
          <w:p>
            <w:pPr>
              <w:jc w:val="left"/>
            </w:pPr>
            <w:r>
              <w:rPr>
                <w:b/>
              </w:rPr>
              <w:t xml:space="preserve">Nanopillar/fin - 2</w:t>
            </w:r>
          </w:p>
        </w:tc>
        <w:tc>
          <w:p>
            <w:pPr>
              <w:jc w:val="left"/>
            </w:pPr>
            <w:r>
              <w:rPr>
                <w:b/>
              </w:rPr>
              <w:t xml:space="preserve">Nanopillar/fin - 3</w:t>
            </w:r>
          </w:p>
        </w:tc>
      </w:tr>
      <w:tr>
        <w:tc>
          <w:p>
            <w:pPr>
              <w:jc w:val="left"/>
            </w:pPr>
            <w:r>
              <w:t xml:space="preserve">Tip dimension</w:t>
            </w:r>
          </w:p>
        </w:tc>
        <w:tc>
          <w:p>
            <w:pPr>
              <w:jc w:val="left"/>
            </w:pPr>
            <w:r>
              <w:t xml:space="preserve">~100nm x 100nm</w:t>
            </w:r>
          </w:p>
        </w:tc>
        <w:tc>
          <w:p>
            <w:pPr>
              <w:jc w:val="left"/>
            </w:pPr>
            <w:r>
              <w:t xml:space="preserve">~100nm x 3µm</w:t>
            </w:r>
          </w:p>
        </w:tc>
        <w:tc>
          <w:p>
            <w:pPr>
              <w:jc w:val="left"/>
            </w:pPr>
            <w:r>
              <w:t xml:space="preserve">~100nm x7.5µm</w:t>
            </w:r>
          </w:p>
        </w:tc>
      </w:tr>
      <w:tr>
        <w:tc>
          <w:p>
            <w:pPr>
              <w:jc w:val="left"/>
            </w:pPr>
            <w:r>
              <w:t xml:space="preserve">Height</w:t>
            </w:r>
          </w:p>
        </w:tc>
        <w:tc>
          <w:p>
            <w:pPr>
              <w:jc w:val="left"/>
            </w:pPr>
            <w:r>
              <w:t xml:space="preserve">~5-6 µm</w:t>
            </w:r>
          </w:p>
        </w:tc>
        <w:tc>
          <w:p>
            <w:pPr>
              <w:jc w:val="left"/>
            </w:pPr>
            <w:r>
              <w:t xml:space="preserve">~5-6 µm</w:t>
            </w:r>
          </w:p>
        </w:tc>
        <w:tc>
          <w:p>
            <w:pPr>
              <w:jc w:val="left"/>
            </w:pPr>
            <w:r>
              <w:t xml:space="preserve">~5-6 µm</w:t>
            </w:r>
          </w:p>
        </w:tc>
      </w:tr>
      <w:tr>
        <w:tc>
          <w:p>
            <w:pPr>
              <w:jc w:val="left"/>
            </w:pPr>
            <w:r>
              <w:t xml:space="preserve">Interpillar distance</w:t>
            </w:r>
          </w:p>
        </w:tc>
        <w:tc>
          <w:p>
            <w:pPr>
              <w:jc w:val="left"/>
            </w:pPr>
            <w:r>
              <w:t xml:space="preserve">~11 x 11 µm</w:t>
            </w:r>
          </w:p>
        </w:tc>
        <w:tc>
          <w:p>
            <w:pPr>
              <w:jc w:val="left"/>
            </w:pPr>
            <w:r>
              <w:t xml:space="preserve">~15 x 11 µm</w:t>
            </w:r>
          </w:p>
        </w:tc>
        <w:tc>
          <w:p>
            <w:pPr>
              <w:jc w:val="left"/>
            </w:pPr>
            <w:r>
              <w:t xml:space="preserve">~19 x 11 µm</w:t>
            </w:r>
          </w:p>
        </w:tc>
      </w:tr>
      <w:tr>
        <w:tc>
          <w:p>
            <w:pPr>
              <w:jc w:val="left"/>
            </w:pPr>
            <w:r>
              <w:t xml:space="preserve">Density</w:t>
            </w:r>
          </w:p>
        </w:tc>
        <w:tc>
          <w:p>
            <w:pPr>
              <w:jc w:val="left"/>
            </w:pPr>
            <w:r>
              <w:t xml:space="preserve">8.3x10</w:t>
            </w:r>
            <w:r>
              <w:rPr>
                <w:vertAlign w:val="superscript"/>
              </w:rPr>
              <w:t xml:space="preserve">3</w:t>
            </w:r>
            <w:r>
              <w:t xml:space="preserve">pillar/cm</w:t>
            </w:r>
            <w:r>
              <w:rPr>
                <w:vertAlign w:val="superscript"/>
              </w:rPr>
              <w:t xml:space="preserve">2</w:t>
            </w:r>
          </w:p>
        </w:tc>
        <w:tc>
          <w:p>
            <w:pPr>
              <w:jc w:val="left"/>
            </w:pPr>
            <w:r>
              <w:t xml:space="preserve">6.6x10</w:t>
            </w:r>
            <w:r>
              <w:rPr>
                <w:vertAlign w:val="superscript"/>
              </w:rPr>
              <w:t xml:space="preserve">3</w:t>
            </w:r>
            <w:r>
              <w:t xml:space="preserve">pillar/cm</w:t>
            </w:r>
            <w:r>
              <w:rPr>
                <w:vertAlign w:val="superscript"/>
              </w:rPr>
              <w:t xml:space="preserve">2</w:t>
            </w:r>
          </w:p>
        </w:tc>
        <w:tc>
          <w:p>
            <w:pPr>
              <w:jc w:val="left"/>
            </w:pPr>
            <w:r>
              <w:t xml:space="preserve">4.8x10</w:t>
            </w:r>
            <w:r>
              <w:rPr>
                <w:vertAlign w:val="superscript"/>
              </w:rPr>
              <w:t xml:space="preserve">3</w:t>
            </w:r>
            <w:r>
              <w:t xml:space="preserve">pillar/cm</w:t>
            </w:r>
            <w:r>
              <w:rPr>
                <w:vertAlign w:val="superscript"/>
              </w:rPr>
              <w:t xml:space="preserve">2</w:t>
            </w:r>
          </w:p>
        </w:tc>
      </w:tr>
    </w:tbl>
    <w:p>
      <w:pPr>
        <w:pStyle w:val="BodyText"/>
      </w:pPr>
      <w:r>
        <w:t xml:space="preserve">Table 1 describes the three different nanopillar or fin configurations.</w:t>
      </w:r>
      <w:r>
        <w:t xml:space="preserve"> </w:t>
      </w:r>
      <w:r>
        <w:t xml:space="preserve">SEM images of the different configurations are shown in Fig. 2. The</w:t>
      </w:r>
      <w:r>
        <w:t xml:space="preserve"> </w:t>
      </w:r>
      <w:r>
        <w:t xml:space="preserve">difference between the nanopillars and nanofins are that nanopillars</w:t>
      </w:r>
      <w:r>
        <w:t xml:space="preserve"> </w:t>
      </w:r>
      <w:r>
        <w:t xml:space="preserve">have the same tip width and breadth while nanofins have different tip</w:t>
      </w:r>
      <w:r>
        <w:t xml:space="preserve"> </w:t>
      </w:r>
      <w:r>
        <w:t xml:space="preserve">width and breadth. The advantage of the nanofin configuration over</w:t>
      </w:r>
      <w:r>
        <w:t xml:space="preserve"> </w:t>
      </w:r>
      <w:r>
        <w:t xml:space="preserve">nanopillars is that nanofins have reduced interfacial impedance and</w:t>
      </w:r>
      <w:r>
        <w:t xml:space="preserve"> </w:t>
      </w:r>
      <w:r>
        <w:t xml:space="preserve">reduced electrode resistance.</w:t>
      </w:r>
    </w:p>
    <w:p>
      <w:pPr>
        <w:pStyle w:val="FigureWithCaption"/>
      </w:pPr>
      <w:r>
        <w:drawing>
          <wp:inline>
            <wp:extent cx="978000" cy="290400"/>
            <wp:effectExtent b="0" l="0" r="0" t="0"/>
            <wp:docPr descr="SEM micrographs of silicon nanoelectrodes. (a)Nanopillar-1 (b)Nanofin-2 (c)Nanofin-3 " title="" id="1" name="Picture"/>
            <a:graphic>
              <a:graphicData uri="http://schemas.openxmlformats.org/drawingml/2006/picture">
                <pic:pic>
                  <pic:nvPicPr>
                    <pic:cNvPr descr="figures/NPs/NP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00" cy="29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SEM micrographs of silicon nanoelectrodes. (a)Nanopillar-1 (b)Nanofin-2</w:t>
      </w:r>
      <w:r>
        <w:t xml:space="preserve"> </w:t>
      </w:r>
      <w:r>
        <w:t xml:space="preserve">(c)Nanofin-3</w:t>
      </w:r>
      <w:r>
        <w:t xml:space="preserve"> </w:t>
      </w:r>
    </w:p>
    <w:p>
      <w:pPr>
        <w:pStyle w:val="BodyText"/>
      </w:pPr>
      <w:r>
        <w:rPr>
          <w:i/>
        </w:rPr>
        <w:t xml:space="preserve">B.  Confocal imaging studies</w:t>
      </w:r>
    </w:p>
    <w:p>
      <w:pPr>
        <w:pStyle w:val="BodyText"/>
      </w:pPr>
      <w:r>
        <w:t xml:space="preserve">To better understand how cells respond to the nanopillars,</w:t>
      </w:r>
      <w:r>
        <w:t xml:space="preserve"> </w:t>
      </w:r>
      <w:r>
        <w:t xml:space="preserve">high-resolution confocal microscopy was used to image NIH 3T3 cell</w:t>
      </w:r>
      <w:r>
        <w:t xml:space="preserve"> </w:t>
      </w:r>
      <w:r>
        <w:t xml:space="preserve">cytoplasm while the cells grew on the nanopillars. The spacing between</w:t>
      </w:r>
      <w:r>
        <w:t xml:space="preserve"> </w:t>
      </w:r>
      <w:r>
        <w:t xml:space="preserve">the nanopillars is critical for better cell- pillar interaction. If the</w:t>
      </w:r>
      <w:r>
        <w:t xml:space="preserve"> </w:t>
      </w:r>
      <w:r>
        <w:t xml:space="preserve">pillars were dense then it resulted in</w:t>
      </w:r>
      <w:r>
        <w:t xml:space="preserve"> </w:t>
      </w:r>
      <w:r>
        <w:t xml:space="preserve">“</w:t>
      </w:r>
      <w:r>
        <w:t xml:space="preserve">bed of nails</w:t>
      </w:r>
      <w:r>
        <w:t xml:space="preserve">”</w:t>
      </w:r>
      <w:r>
        <w:t xml:space="preserve"> </w:t>
      </w:r>
      <w:r>
        <w:t xml:space="preserve">effect on cells</w:t>
      </w:r>
      <w:r>
        <w:t xml:space="preserve"> </w:t>
      </w:r>
      <w:r>
        <w:t xml:space="preserve">and cells remained suspended on the top of the pillar and did not</w:t>
      </w:r>
      <w:r>
        <w:t xml:space="preserve"> </w:t>
      </w:r>
      <w:r>
        <w:t xml:space="preserve">conform around the pillars. We chose an optimized spacing of over 10µm</w:t>
      </w:r>
      <w:r>
        <w:t xml:space="preserve"> </w:t>
      </w:r>
      <w:r>
        <w:t xml:space="preserve">for efficient cell penetration. Fig. 3 shows the interaction of NIH 3T3</w:t>
      </w:r>
      <w:r>
        <w:t xml:space="preserve"> </w:t>
      </w:r>
      <w:r>
        <w:t xml:space="preserve">cells on the pillars. The images clearly depict the cytoplasm exclusion</w:t>
      </w:r>
      <w:r>
        <w:t xml:space="preserve"> </w:t>
      </w:r>
      <w:r>
        <w:t xml:space="preserve">effect  (dark squares/rectangles) where the nanopillars are present. The</w:t>
      </w:r>
      <w:r>
        <w:t xml:space="preserve"> </w:t>
      </w:r>
      <w:r>
        <w:t xml:space="preserve">images also show that cells were penetrated completely by the</w:t>
      </w:r>
      <w:r>
        <w:t xml:space="preserve"> </w:t>
      </w:r>
      <w:r>
        <w:t xml:space="preserve">nanopillars. The presence of cytoplasmic exclusion effect may mean –</w:t>
      </w:r>
      <w:r>
        <w:t xml:space="preserve"> </w:t>
      </w:r>
      <w:r>
        <w:t xml:space="preserve">(a) cell membrane penetration on the nanopillars or (b) wrapping of cell</w:t>
      </w:r>
      <w:r>
        <w:t xml:space="preserve"> </w:t>
      </w:r>
      <w:r>
        <w:t xml:space="preserve">membrane tightly around the nanopillar without membrane penetration.  To</w:t>
      </w:r>
      <w:r>
        <w:t xml:space="preserve"> </w:t>
      </w:r>
      <w:r>
        <w:t xml:space="preserve">address this question and better understand the cell membrane</w:t>
      </w:r>
      <w:r>
        <w:t xml:space="preserve"> </w:t>
      </w:r>
      <w:r>
        <w:t xml:space="preserve">conformation on the nanopillars, particularly whether nanopillars can</w:t>
      </w:r>
      <w:r>
        <w:t xml:space="preserve"> </w:t>
      </w:r>
      <w:r>
        <w:t xml:space="preserve">penetrate the cell membrane, SEM imaging was done.</w:t>
      </w:r>
    </w:p>
    <w:p>
      <w:pPr>
        <w:pStyle w:val="BodyText"/>
      </w:pPr>
      <w:r>
        <w:br w:type="textWrapping"/>
      </w:r>
      <w:r>
        <w:t xml:space="preserve"> </w:t>
      </w:r>
    </w:p>
    <w:p>
      <w:pPr>
        <w:pStyle w:val="FigureWithCaption"/>
      </w:pPr>
      <w:r>
        <w:drawing>
          <wp:inline>
            <wp:extent cx="1580400" cy="540000"/>
            <wp:effectExtent b="0" l="0" r="0" t="0"/>
            <wp:docPr descr="Confocal images of cells cultured on (a)Nanopillar-1 (b)Nanofin-2 (c)Nanofin-3 " title="" id="1" name="Picture"/>
            <a:graphic>
              <a:graphicData uri="http://schemas.openxmlformats.org/drawingml/2006/picture">
                <pic:pic>
                  <pic:nvPicPr>
                    <pic:cNvPr descr="figures/confocal/confoc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Confocal images of cells cultured on (a)Nanopillar-1 (b)Nanofin-2</w:t>
      </w:r>
      <w:r>
        <w:t xml:space="preserve"> </w:t>
      </w:r>
      <w:r>
        <w:t xml:space="preserve">(c)Nanofin-3</w:t>
      </w:r>
      <w:r>
        <w:t xml:space="preserve"> </w:t>
      </w:r>
    </w:p>
    <w:p>
      <w:pPr>
        <w:pStyle w:val="BodyText"/>
      </w:pPr>
      <w:r>
        <w:t xml:space="preserve">C. SEM studies</w:t>
      </w:r>
    </w:p>
    <w:p>
      <w:pPr>
        <w:pStyle w:val="BodyText"/>
      </w:pPr>
      <w:r>
        <w:t xml:space="preserve">Fig. 4 shows the dynamics of the cell penetration process over time,</w:t>
      </w:r>
      <w:r>
        <w:t xml:space="preserve"> </w:t>
      </w:r>
      <w:r>
        <w:t xml:space="preserve">recorded at 5  minutes to 5 hours using SEM imaging.   These images</w:t>
      </w:r>
      <w:r>
        <w:t xml:space="preserve"> </w:t>
      </w:r>
      <w:r>
        <w:t xml:space="preserve">provide information,   although limited, of possible cell membrane</w:t>
      </w:r>
      <w:r>
        <w:t xml:space="preserve"> </w:t>
      </w:r>
      <w:r>
        <w:t xml:space="preserve">deformation around the nanopillars or conform on the nanopillars.  The</w:t>
      </w:r>
      <w:r>
        <w:t xml:space="preserve"> </w:t>
      </w:r>
      <w:r>
        <w:t xml:space="preserve">images clearly show the NIH 3T3 cell-nanopillar interface at different</w:t>
      </w:r>
      <w:r>
        <w:t xml:space="preserve"> </w:t>
      </w:r>
      <w:r>
        <w:t xml:space="preserve">time points. Here, the nanopillars are 100-200 nm in tip diameter, 5-6</w:t>
      </w:r>
      <w:r>
        <w:t xml:space="preserve"> </w:t>
      </w:r>
      <w:r>
        <w:t xml:space="preserve">µm high at a density of 8x10</w:t>
      </w:r>
      <w:r>
        <w:rPr>
          <w:vertAlign w:val="superscript"/>
        </w:rPr>
        <w:t xml:space="preserve">3</w:t>
      </w:r>
      <w:r>
        <w:t xml:space="preserve"> </w:t>
      </w:r>
      <w:r>
        <w:t xml:space="preserve">nanopillars/cm</w:t>
      </w:r>
      <w:r>
        <w:rPr>
          <w:vertAlign w:val="superscript"/>
        </w:rPr>
        <w:t xml:space="preserve">2</w:t>
      </w:r>
      <w:r>
        <w:t xml:space="preserve">. The sphere-shaped cells first settle</w:t>
      </w:r>
      <w:r>
        <w:t xml:space="preserve"> </w:t>
      </w:r>
      <w:r>
        <w:t xml:space="preserve">onto the nanopillars (~5min), then gradually continue to</w:t>
      </w:r>
      <w:r>
        <w:t xml:space="preserve"> </w:t>
      </w:r>
      <w:r>
        <w:t xml:space="preserve">adhere to the substrate which leads to cell spreading (30 min), followed</w:t>
      </w:r>
      <w:r>
        <w:t xml:space="preserve"> </w:t>
      </w:r>
      <w:r>
        <w:t xml:space="preserve">by increase cell-pillar contact area (2 and 5 hours). </w:t>
      </w:r>
    </w:p>
    <w:p>
      <w:pPr>
        <w:pStyle w:val="FigureWithCaption"/>
      </w:pPr>
      <w:r>
        <w:drawing>
          <wp:inline>
            <wp:extent cx="1639200" cy="957599"/>
            <wp:effectExtent b="0" l="0" r="0" t="0"/>
            <wp:docPr descr="Dynamics of cell penetration process over time (left image). (a)Differentiated cells penetrated by nanopillars (b) Image of cells on nanopillars after FIB milling of one half of the electrode-cell interface. " title="" id="1" name="Picture"/>
            <a:graphic>
              <a:graphicData uri="http://schemas.openxmlformats.org/drawingml/2006/picture">
                <pic:pic>
                  <pic:nvPicPr>
                    <pic:cNvPr descr="figures/sem/se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95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Dynamics of cell penetration process over time (left image).</w:t>
      </w:r>
      <w:r>
        <w:t xml:space="preserve"> </w:t>
      </w:r>
      <w:r>
        <w:t xml:space="preserve">(a)Differentiated cells penetrated by nanopillars (b) Image of cells on</w:t>
      </w:r>
      <w:r>
        <w:t xml:space="preserve"> </w:t>
      </w:r>
      <w:r>
        <w:t xml:space="preserve">nanopillars after FIB milling of one half of the electrode-cell</w:t>
      </w:r>
      <w:r>
        <w:t xml:space="preserve"> </w:t>
      </w:r>
      <w:r>
        <w:t xml:space="preserve">interface.</w:t>
      </w:r>
      <w:r>
        <w:t xml:space="preserve"> </w:t>
      </w:r>
    </w:p>
    <w:p>
      <w:pPr>
        <w:pStyle w:val="BodyText"/>
      </w:pPr>
      <w:r>
        <w:t xml:space="preserve">Fig. 4a and 4b show the fixed SEM images of differentiated PC12 cells</w:t>
      </w:r>
      <w:r>
        <w:t xml:space="preserve"> </w:t>
      </w:r>
      <w:r>
        <w:t xml:space="preserve">being penetrated by the nanopillars without any loss of cellular</w:t>
      </w:r>
      <w:r>
        <w:t xml:space="preserve"> </w:t>
      </w:r>
      <w:r>
        <w:t xml:space="preserve">function.  It is interesting to observe that the PC12 neurite outgrowth</w:t>
      </w:r>
      <w:r>
        <w:t xml:space="preserve"> </w:t>
      </w:r>
      <w:r>
        <w:t xml:space="preserve">grasping onto the nanopillars. Additionally, it is evident from Fig. 6b</w:t>
      </w:r>
      <w:r>
        <w:t xml:space="preserve"> </w:t>
      </w:r>
      <w:r>
        <w:t xml:space="preserve">that the nanopillars are clearly assessing the interior of the cells’</w:t>
      </w:r>
      <w:r>
        <w:t xml:space="preserve"> </w:t>
      </w:r>
      <w:r>
        <w:t xml:space="preserve">cytosol.  This image was taken after focused ion milling (FIB) milling</w:t>
      </w:r>
      <w:r>
        <w:t xml:space="preserve"> </w:t>
      </w:r>
      <w:r>
        <w:t xml:space="preserve">of one half of the electrode-cell interface. The cross-section image</w:t>
      </w:r>
      <w:r>
        <w:t xml:space="preserve"> </w:t>
      </w:r>
      <w:r>
        <w:t xml:space="preserve">shows clearly that the cell has surrounded the nanopillars.  The </w:t>
      </w:r>
      <w:r>
        <w:t xml:space="preserve"> </w:t>
      </w:r>
      <w:r>
        <w:t xml:space="preserve">FIB-SEM results shown here are consistent with the confocal images,</w:t>
      </w:r>
      <w:r>
        <w:t xml:space="preserve"> </w:t>
      </w:r>
      <w:r>
        <w:t xml:space="preserve">which showed cell membrane deformation around the nanopillars. </w:t>
      </w:r>
    </w:p>
    <w:p>
      <w:pPr>
        <w:pStyle w:val="FigureWithCaption"/>
      </w:pPr>
      <w:r>
        <w:drawing>
          <wp:inline>
            <wp:extent cx="883200" cy="477599"/>
            <wp:effectExtent b="0" l="0" r="0" t="0"/>
            <wp:docPr descr="Live/Dead assay for various ES parameters " title="" id="1" name="Picture"/>
            <a:graphic>
              <a:graphicData uri="http://schemas.openxmlformats.org/drawingml/2006/picture">
                <pic:pic>
                  <pic:nvPicPr>
                    <pic:cNvPr descr="figures/live-dead/live-dea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00" cy="47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Live/Dead assay for various ES parameters</w:t>
      </w:r>
      <w:r>
        <w:t xml:space="preserve"> </w:t>
      </w:r>
    </w:p>
    <w:p>
      <w:pPr>
        <w:pStyle w:val="BodyText"/>
      </w:pPr>
      <w:r>
        <w:t xml:space="preserve">Figure 5 shows a confluent monolayer of viable cells in all the four</w:t>
      </w:r>
      <w:r>
        <w:t xml:space="preserve"> </w:t>
      </w:r>
      <w:r>
        <w:t xml:space="preserve">groups and the control. This indicates that the majority of ADSCs were</w:t>
      </w:r>
      <w:r>
        <w:t xml:space="preserve"> </w:t>
      </w:r>
      <w:r>
        <w:t xml:space="preserve">alive, with a mild reduction in cell viability in 200mV and 500mV. Based</w:t>
      </w:r>
      <w:r>
        <w:t xml:space="preserve"> </w:t>
      </w:r>
      <w:r>
        <w:t xml:space="preserve">on these preliminary studies we chose 100mV/cm of DC ES for 15min per</w:t>
      </w:r>
      <w:r>
        <w:t xml:space="preserve"> </w:t>
      </w:r>
      <w:r>
        <w:t xml:space="preserve">day for this experiment. In comparison to non-stimulated cells grown on</w:t>
      </w:r>
      <w:r>
        <w:t xml:space="preserve"> </w:t>
      </w:r>
      <w:r>
        <w:t xml:space="preserve">plain silicon substrates, the stimulated cells showed slightly higher</w:t>
      </w:r>
      <w:r>
        <w:t xml:space="preserve"> </w:t>
      </w:r>
      <w:r>
        <w:t xml:space="preserve">proliferation and hence a dense growth over a period of 3 days. The</w:t>
      </w:r>
      <w:r>
        <w:t xml:space="preserve"> </w:t>
      </w:r>
      <w:r>
        <w:t xml:space="preserve">obtained results confirmed that electrical stimulation of ADSCs led to</w:t>
      </w:r>
      <w:r>
        <w:t xml:space="preserve"> </w:t>
      </w:r>
      <w:r>
        <w:t xml:space="preserve">no significant cell viability loss. </w:t>
      </w:r>
    </w:p>
    <w:p>
      <w:pPr>
        <w:pStyle w:val="FigureWithCaption"/>
      </w:pPr>
      <w:r>
        <w:drawing>
          <wp:inline>
            <wp:extent cx="1442400" cy="541200"/>
            <wp:effectExtent b="0" l="0" r="0" t="0"/>
            <wp:docPr descr="ADSCs stained for ADSC(left) and NSC(right) markers for cells undergoing both NI (50%) and ES (5 days, 100mV for 15min/day) " title="" id="1" name="Picture"/>
            <a:graphic>
              <a:graphicData uri="http://schemas.openxmlformats.org/drawingml/2006/picture">
                <pic:pic>
                  <pic:nvPicPr>
                    <pic:cNvPr descr="figures/50-50/50-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00" cy="54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ADSCs stained for ADSC(left) and NSC(right) markers for cells undergoing</w:t>
      </w:r>
      <w:r>
        <w:t xml:space="preserve"> </w:t>
      </w:r>
      <w:r>
        <w:t xml:space="preserve">both NI (50%) and ES (5 days, 100mV for 15min/day)</w:t>
      </w:r>
      <w:r>
        <w:t xml:space="preserve"> </w:t>
      </w:r>
    </w:p>
    <w:p>
      <w:pPr>
        <w:pStyle w:val="BodyText"/>
      </w:pPr>
      <w:r>
        <w:t xml:space="preserve">The influence of electrical stimulation on neurogenic differentiation of</w:t>
      </w:r>
      <w:r>
        <w:t xml:space="preserve"> </w:t>
      </w:r>
      <w:r>
        <w:t xml:space="preserve">human ADSCs was investigated after 3-5 days and compared to controls.</w:t>
      </w:r>
      <w:r>
        <w:t xml:space="preserve"> </w:t>
      </w:r>
      <w:r>
        <w:t xml:space="preserve">Electrical stimulation was also carried out using 50% neural induction</w:t>
      </w:r>
      <w:r>
        <w:t xml:space="preserve"> </w:t>
      </w:r>
      <w:r>
        <w:t xml:space="preserve">media (with and without the use of nanofins). The combined effect of</w:t>
      </w:r>
      <w:r>
        <w:t xml:space="preserve"> </w:t>
      </w:r>
      <w:r>
        <w:t xml:space="preserve">both electrical and chemical stimulus was not significant. However</w:t>
      </w:r>
      <w:r>
        <w:t xml:space="preserve"> </w:t>
      </w:r>
      <w:r>
        <w:t xml:space="preserve">initial morphological changes are observed in figure 6 for all three</w:t>
      </w:r>
      <w:r>
        <w:t xml:space="preserve"> </w:t>
      </w:r>
      <w:r>
        <w:t xml:space="preserve">conditions.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432800" cy="540000"/>
            <wp:effectExtent b="0" l="0" r="0" t="0"/>
            <wp:docPr descr="ADSCs stained for ADSC (left) and NSC (right) markers for cells undergoing only ES (5 days, 100mV for 15min/day)  " title="" id="1" name="Picture"/>
            <a:graphic>
              <a:graphicData uri="http://schemas.openxmlformats.org/drawingml/2006/picture">
                <pic:pic>
                  <pic:nvPicPr>
                    <pic:cNvPr descr="figures/ES/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ADSCs stained for ADSC (left) and NSC (right) markers for cells</w:t>
      </w:r>
      <w:r>
        <w:t xml:space="preserve"> </w:t>
      </w:r>
      <w:r>
        <w:t xml:space="preserve">undergoing only ES (5 days, 100mV for 15min/day) </w:t>
      </w:r>
      <w:r>
        <w:t xml:space="preserve"> </w:t>
      </w:r>
    </w:p>
    <w:p>
      <w:pPr>
        <w:pStyle w:val="BodyText"/>
      </w:pPr>
      <w:r>
        <w:t xml:space="preserve">Figure 7 shows results of ADSCs undergoing transformation using only</w:t>
      </w:r>
      <w:r>
        <w:t xml:space="preserve"> </w:t>
      </w:r>
      <w:r>
        <w:t xml:space="preserve">electrical stimulation. Electrical stimulation was performed using both</w:t>
      </w:r>
      <w:r>
        <w:t xml:space="preserve"> </w:t>
      </w:r>
      <w:r>
        <w:t xml:space="preserve">nanofins and plain substrates. Although cells on plain substrate yielded</w:t>
      </w:r>
      <w:r>
        <w:t xml:space="preserve"> </w:t>
      </w:r>
      <w:r>
        <w:t xml:space="preserve">a more confluent layer as compared to cells growing on nanofins, the</w:t>
      </w:r>
      <w:r>
        <w:t xml:space="preserve"> </w:t>
      </w:r>
      <w:r>
        <w:t xml:space="preserve">cells receiving electrical stimulation via nanofins showed higher</w:t>
      </w:r>
      <w:r>
        <w:t xml:space="preserve"> </w:t>
      </w:r>
      <w:r>
        <w:t xml:space="preserve">expression of NSC markers. </w:t>
      </w:r>
    </w:p>
    <w:p>
      <w:pPr>
        <w:pStyle w:val="Heading1"/>
      </w:pPr>
      <w:bookmarkStart w:id="38" w:name="discussion"/>
      <w:bookmarkEnd w:id="38"/>
      <w:r>
        <w:t xml:space="preserve">Discussion</w:t>
      </w:r>
    </w:p>
    <w:p>
      <w:pPr>
        <w:pStyle w:val="FirstParagraph"/>
      </w:pPr>
      <w:r>
        <w:t xml:space="preserve">In summary, this paper reports on the development of an optimized</w:t>
      </w:r>
      <w:r>
        <w:t xml:space="preserve"> </w:t>
      </w:r>
      <w:r>
        <w:t xml:space="preserve">nanoelectrode that has the potential to penetrate ADSCs without any loss</w:t>
      </w:r>
      <w:r>
        <w:t xml:space="preserve"> </w:t>
      </w:r>
      <w:r>
        <w:t xml:space="preserve">of cellular function, where electrical stimulus can be applied through</w:t>
      </w:r>
      <w:r>
        <w:t xml:space="preserve"> </w:t>
      </w:r>
      <w:r>
        <w:t xml:space="preserve">the penetrating electrodes to differentiate ADSCs into neuronal</w:t>
      </w:r>
      <w:r>
        <w:t xml:space="preserve"> </w:t>
      </w:r>
      <w:r>
        <w:t xml:space="preserve">lineages. The nanofin design compared to nanopillars gave larger</w:t>
      </w:r>
      <w:r>
        <w:t xml:space="preserve"> </w:t>
      </w:r>
      <w:r>
        <w:t xml:space="preserve">electrode surface area and thereby reduced the interfacial impedance and</w:t>
      </w:r>
      <w:r>
        <w:t xml:space="preserve"> </w:t>
      </w:r>
      <w:r>
        <w:t xml:space="preserve">electrode resistance. Our preliminary studies show that electrical</w:t>
      </w:r>
      <w:r>
        <w:t xml:space="preserve"> </w:t>
      </w:r>
      <w:r>
        <w:t xml:space="preserve">stimulation can greatly reduce the use of growth factor for cell</w:t>
      </w:r>
      <w:r>
        <w:t xml:space="preserve"> </w:t>
      </w:r>
      <w:r>
        <w:t xml:space="preserve">differentiation with early expression of neural markers - Nestin and</w:t>
      </w:r>
      <w:r>
        <w:t xml:space="preserve"> </w:t>
      </w:r>
      <w:r>
        <w:t xml:space="preserve">PAX6. In future, we hope to achieve an optimized  DC electrical stimuli</w:t>
      </w:r>
      <w:r>
        <w:t xml:space="preserve"> </w:t>
      </w:r>
      <w:r>
        <w:t xml:space="preserve">protocol that may differentiate ADSCs without the use of growth factors.</w:t>
      </w:r>
    </w:p>
    <w:p>
      <w:pPr>
        <w:pStyle w:val="BodyText"/>
      </w:pPr>
      <w:r>
        <w:t xml:space="preserve">We have demonstrated that DC ES promotes Vimentin, Nestin and Pax 6</w:t>
      </w:r>
      <w:r>
        <w:t xml:space="preserve"> </w:t>
      </w:r>
      <w:r>
        <w:t xml:space="preserve">expression in human ADSCs already at 5 days.</w:t>
      </w:r>
    </w:p>
    <w:p>
      <w:pPr>
        <w:pStyle w:val="BodyText"/>
      </w:pPr>
      <w:r>
        <w:t xml:space="preserve">Future studies should look into finding the optimum parameters at which</w:t>
      </w:r>
      <w:r>
        <w:t xml:space="preserve"> </w:t>
      </w:r>
      <w:r>
        <w:t xml:space="preserve">ES is not only most effective but can differentiate ADSC into desired</w:t>
      </w:r>
      <w:r>
        <w:t xml:space="preserve"> </w:t>
      </w:r>
      <w:r>
        <w:t xml:space="preserve">cell type down the neural lineage.</w:t>
      </w:r>
    </w:p>
    <w:p>
      <w:pPr>
        <w:pStyle w:val="Heading1"/>
      </w:pPr>
      <w:bookmarkStart w:id="39" w:name="acknowledgements"/>
      <w:bookmarkEnd w:id="39"/>
      <w:r>
        <w:t xml:space="preserve">Acknowledgements</w:t>
      </w:r>
    </w:p>
    <w:p>
      <w:pPr>
        <w:pStyle w:val="FirstParagraph"/>
      </w:pPr>
      <w:r>
        <w:t xml:space="preserve">This work was performed at the Joint School of Nanoscience and</w:t>
      </w:r>
      <w:r>
        <w:t xml:space="preserve"> </w:t>
      </w:r>
      <w:r>
        <w:t xml:space="preserve">Nanoengineering, a member of Southeastern Nanotechnology Infrastructure</w:t>
      </w:r>
      <w:r>
        <w:t xml:space="preserve"> </w:t>
      </w:r>
      <w:r>
        <w:t xml:space="preserve">Corridor (SENIC) and National Nanotechnology Coordinated Infrastructure</w:t>
      </w:r>
      <w:r>
        <w:t xml:space="preserve"> </w:t>
      </w:r>
      <w:r>
        <w:t xml:space="preserve">(NNCI), which is supported by the National Science Foundation</w:t>
      </w:r>
      <w:r>
        <w:t xml:space="preserve"> </w:t>
      </w:r>
      <w:r>
        <w:t xml:space="preserve">(ECCS-1542174).</w:t>
      </w:r>
    </w:p>
    <w:p>
      <w:pPr>
        <w:pStyle w:val="BodyText"/>
      </w:pP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85bc898f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5" Target="media/rId35.png" /><Relationship Type="http://schemas.openxmlformats.org/officeDocument/2006/relationships/image" Id="rId25" Target="media/rId25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Biosensors and Bioelectronics</dc:title>
  <dc:creator>Komal Garde; saravamu; komu.garde</dc:creator>
  <dcterms:created xsi:type="dcterms:W3CDTF">2018-07-02T22:50:04Z</dcterms:created>
  <dcterms:modified xsi:type="dcterms:W3CDTF">2018-07-02T22:50:04Z</dcterms:modified>
</cp:coreProperties>
</file>