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1.png" ContentType="image/png"/>
  <Override PartName="/word/media/rId24.png" ContentType="image/png"/>
  <Override PartName="/word/media/rId22.gif" ContentType="image/gif"/>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Supplementary</w:t>
      </w:r>
      <w:r>
        <w:t xml:space="preserve"> </w:t>
      </w:r>
      <w:r>
        <w:t xml:space="preserve">Figures</w:t>
      </w:r>
    </w:p>
    <w:p>
      <w:pPr>
        <w:pStyle w:val="FigureWithCaption"/>
      </w:pPr>
      <w:r>
        <w:drawing>
          <wp:inline>
            <wp:extent cx="1639200" cy="541200"/>
            <wp:effectExtent b="0" l="0" r="0" t="0"/>
            <wp:docPr descr="The relationship between the Structural Robustness for a topology, with the fraction of occurrence of a given reaction type within the topology. None of the reactions shows a strong correlation with structural robustness, suggesting that different structures may be required for different topologies to increase Structural Robustness. " title="" id="1" name="Picture"/>
            <a:graphic>
              <a:graphicData uri="http://schemas.openxmlformats.org/drawingml/2006/picture">
                <pic:pic>
                  <pic:nvPicPr>
                    <pic:cNvPr descr="figures/Fig3/Fig3.png" id="0" name="Picture"/>
                    <pic:cNvPicPr>
                      <a:picLocks noChangeArrowheads="1" noChangeAspect="1"/>
                    </pic:cNvPicPr>
                  </pic:nvPicPr>
                  <pic:blipFill>
                    <a:blip r:embed="rId21"/>
                    <a:stretch>
                      <a:fillRect/>
                    </a:stretch>
                  </pic:blipFill>
                  <pic:spPr bwMode="auto">
                    <a:xfrm>
                      <a:off x="0" y="0"/>
                      <a:ext cx="1639200" cy="541200"/>
                    </a:xfrm>
                    <a:prstGeom prst="rect">
                      <a:avLst/>
                    </a:prstGeom>
                    <a:noFill/>
                    <a:ln w="9525">
                      <a:noFill/>
                      <a:headEnd/>
                      <a:tailEnd/>
                    </a:ln>
                  </pic:spPr>
                </pic:pic>
              </a:graphicData>
            </a:graphic>
          </wp:inline>
        </w:drawing>
      </w:r>
    </w:p>
    <w:p>
      <w:pPr>
        <w:pStyle w:val="ImageCaption"/>
      </w:pPr>
      <w:r>
        <w:t xml:space="preserve">The relationship between the Structural Robustness for a topology, with</w:t>
      </w:r>
      <w:r>
        <w:t xml:space="preserve"> </w:t>
      </w:r>
      <w:r>
        <w:t xml:space="preserve">the fraction of occurrence of a given reaction type within the topology.</w:t>
      </w:r>
      <w:r>
        <w:t xml:space="preserve"> </w:t>
      </w:r>
      <w:r>
        <w:t xml:space="preserve">None of the reactions shows a strong correlation with structural</w:t>
      </w:r>
      <w:r>
        <w:t xml:space="preserve"> </w:t>
      </w:r>
      <w:r>
        <w:t xml:space="preserve">robustness, suggesting that different structures may be required for</w:t>
      </w:r>
      <w:r>
        <w:t xml:space="preserve"> </w:t>
      </w:r>
      <w:r>
        <w:t xml:space="preserve">different topologies to increase Structural Robustness.</w:t>
      </w:r>
      <w:r>
        <w:t xml:space="preserve"> </w:t>
      </w:r>
    </w:p>
    <w:p>
      <w:pPr>
        <w:pStyle w:val="FigureWithCaption"/>
      </w:pPr>
      <w:r>
        <w:drawing>
          <wp:inline>
            <wp:extent cx="5334000" cy="3335086"/>
            <wp:effectExtent b="0" l="0" r="0" t="0"/>
            <wp:docPr descr="Taken from Ramakrishnan and Bhalla (2008, doi: https://doi.org/10.1371/journal.pcbi.1000122). This figure shows the relatedness (edges) between the different CRNs (nodes) and their propensity to be bistable (node colors). Different layers denote different dimensionalities (labelled on the left) of the CRNs. Nodes without any edges coming from bottom (smaller dimensionality) are the 80 root CRNs. This includes both 56 orphan nodes (stacked on the left), and the 24 root group CRNs. " title="" id="1" name="Picture"/>
            <a:graphic>
              <a:graphicData uri="http://schemas.openxmlformats.org/drawingml/2006/picture">
                <pic:pic>
                  <pic:nvPicPr>
                    <pic:cNvPr descr="figures/banyanTree/banyan-cropped.gif" id="0" name="Picture"/>
                    <pic:cNvPicPr>
                      <a:picLocks noChangeArrowheads="1" noChangeAspect="1"/>
                    </pic:cNvPicPr>
                  </pic:nvPicPr>
                  <pic:blipFill>
                    <a:blip r:embed="rId22"/>
                    <a:stretch>
                      <a:fillRect/>
                    </a:stretch>
                  </pic:blipFill>
                  <pic:spPr bwMode="auto">
                    <a:xfrm>
                      <a:off x="0" y="0"/>
                      <a:ext cx="5334000" cy="3335086"/>
                    </a:xfrm>
                    <a:prstGeom prst="rect">
                      <a:avLst/>
                    </a:prstGeom>
                    <a:noFill/>
                    <a:ln w="9525">
                      <a:noFill/>
                      <a:headEnd/>
                      <a:tailEnd/>
                    </a:ln>
                  </pic:spPr>
                </pic:pic>
              </a:graphicData>
            </a:graphic>
          </wp:inline>
        </w:drawing>
      </w:r>
    </w:p>
    <w:p>
      <w:pPr>
        <w:pStyle w:val="ImageCaption"/>
      </w:pPr>
      <w:r>
        <w:t xml:space="preserve">Taken from Ramakrishnan and Bhalla (2008,</w:t>
      </w:r>
      <w:r>
        <w:t xml:space="preserve"> </w:t>
      </w:r>
      <w:r>
        <w:t xml:space="preserve">doi: </w:t>
      </w:r>
      <w:hyperlink r:id="rId23">
        <w:r>
          <w:rPr>
            <w:rStyle w:val="Hyperlink"/>
          </w:rPr>
          <w:t xml:space="preserve">https://doi.org/10.1371/journal.pcbi.1000122</w:t>
        </w:r>
      </w:hyperlink>
      <w:r>
        <w:t xml:space="preserve">). This figure</w:t>
      </w:r>
      <w:r>
        <w:t xml:space="preserve"> </w:t>
      </w:r>
      <w:r>
        <w:t xml:space="preserve">shows the relatedness (edges) between the different CRNs (nodes) and</w:t>
      </w:r>
      <w:r>
        <w:t xml:space="preserve"> </w:t>
      </w:r>
      <w:r>
        <w:t xml:space="preserve">their propensity to be bistable (node colors). Different layers denote</w:t>
      </w:r>
      <w:r>
        <w:t xml:space="preserve"> </w:t>
      </w:r>
      <w:r>
        <w:t xml:space="preserve">different dimensionalities (labelled on the left) of the CRNs. Nodes</w:t>
      </w:r>
      <w:r>
        <w:t xml:space="preserve"> </w:t>
      </w:r>
      <w:r>
        <w:t xml:space="preserve">without any edges coming from bottom (smaller dimensionality) are the 80</w:t>
      </w:r>
      <w:r>
        <w:t xml:space="preserve"> </w:t>
      </w:r>
      <w:r>
        <w:t xml:space="preserve">root CRNs. This includes both 56 orphan nodes (stacked on the left), and</w:t>
      </w:r>
      <w:r>
        <w:t xml:space="preserve"> </w:t>
      </w:r>
      <w:r>
        <w:t xml:space="preserve">the 24 root group CRNs.</w:t>
      </w:r>
      <w:r>
        <w:t xml:space="preserve"> </w:t>
      </w:r>
    </w:p>
    <w:p>
      <w:pPr>
        <w:pStyle w:val="FigureWithCaption"/>
      </w:pPr>
      <w:r>
        <w:drawing>
          <wp:inline>
            <wp:extent cx="1036800" cy="1228800"/>
            <wp:effectExtent b="0" l="0" r="0" t="0"/>
            <wp:docPr descr="Distribution of structural robustness of CRNs organized by root groups. Group V and VI have the highest median structural robustness followed by Group VII. Group V and VI had about 30% members common to both the root groups. " title="" id="1" name="Picture"/>
            <a:graphic>
              <a:graphicData uri="http://schemas.openxmlformats.org/drawingml/2006/picture">
                <pic:pic>
                  <pic:nvPicPr>
                    <pic:cNvPr descr="figures/SF2/RootGroup-StructRob.png" id="0" name="Picture"/>
                    <pic:cNvPicPr>
                      <a:picLocks noChangeArrowheads="1" noChangeAspect="1"/>
                    </pic:cNvPicPr>
                  </pic:nvPicPr>
                  <pic:blipFill>
                    <a:blip r:embed="rId24"/>
                    <a:stretch>
                      <a:fillRect/>
                    </a:stretch>
                  </pic:blipFill>
                  <pic:spPr bwMode="auto">
                    <a:xfrm>
                      <a:off x="0" y="0"/>
                      <a:ext cx="1036800" cy="1228800"/>
                    </a:xfrm>
                    <a:prstGeom prst="rect">
                      <a:avLst/>
                    </a:prstGeom>
                    <a:noFill/>
                    <a:ln w="9525">
                      <a:noFill/>
                      <a:headEnd/>
                      <a:tailEnd/>
                    </a:ln>
                  </pic:spPr>
                </pic:pic>
              </a:graphicData>
            </a:graphic>
          </wp:inline>
        </w:drawing>
      </w:r>
    </w:p>
    <w:p>
      <w:pPr>
        <w:pStyle w:val="ImageCaption"/>
      </w:pPr>
      <w:r>
        <w:t xml:space="preserve">Distribution of structural robustness of CRNs organized by root groups.</w:t>
      </w:r>
      <w:r>
        <w:t xml:space="preserve"> </w:t>
      </w:r>
      <w:r>
        <w:t xml:space="preserve">Group V and VI have the highest median structural robustness followed by</w:t>
      </w:r>
      <w:r>
        <w:t xml:space="preserve"> </w:t>
      </w:r>
      <w:r>
        <w:t xml:space="preserve">Group VII. Group V and VI had about 30% members common to both the root</w:t>
      </w:r>
      <w:r>
        <w:t xml:space="preserve"> </w:t>
      </w:r>
      <w:r>
        <w:t xml:space="preserve">groups.</w:t>
      </w: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0d51dc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2" Target="media/rId22.gif" /><Relationship Type="http://schemas.openxmlformats.org/officeDocument/2006/relationships/hyperlink" Id="rId23" Target="https://doi.org/10.1371/journal.pcbi.1000122" TargetMode="External" /></Relationships>
</file>

<file path=word/_rels/footnotes.xml.rels><?xml version="1.0" encoding="UTF-8"?>
<Relationships xmlns="http://schemas.openxmlformats.org/package/2006/relationships"><Relationship Type="http://schemas.openxmlformats.org/officeDocument/2006/relationships/hyperlink" Id="rId23" Target="https://doi.org/10.1371/journal.pcbi.100012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Figures</dc:title>
  <dc:creator/>
  <dcterms:created xsi:type="dcterms:W3CDTF">2020-08-01T18:00:20Z</dcterms:created>
  <dcterms:modified xsi:type="dcterms:W3CDTF">2020-08-01T18:00:20Z</dcterms:modified>
</cp:coreProperties>
</file>