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2.png" ContentType="image/png"/>
  <Override PartName="/word/media/rId23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Soil</w:t>
      </w:r>
      <w:r>
        <w:t xml:space="preserve"> </w:t>
      </w:r>
      <w:r>
        <w:t xml:space="preserve">flushing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bonifica</w:t>
      </w:r>
      <w:r>
        <w:t xml:space="preserve"> </w:t>
      </w:r>
      <w:r>
        <w:t xml:space="preserve">dei</w:t>
      </w:r>
      <w:r>
        <w:t xml:space="preserve"> </w:t>
      </w:r>
      <w:r>
        <w:t xml:space="preserve">siti</w:t>
      </w:r>
      <w:r>
        <w:t xml:space="preserve"> </w:t>
      </w:r>
      <w:r>
        <w:t xml:space="preserve">contaminati:</w:t>
      </w:r>
      <w:r>
        <w:t xml:space="preserve"> </w:t>
      </w:r>
      <w:r>
        <w:t xml:space="preserve">applicazioni</w:t>
      </w:r>
      <w:r>
        <w:t xml:space="preserve"> </w:t>
      </w:r>
      <w:r>
        <w:t xml:space="preserve">e</w:t>
      </w:r>
      <w:r>
        <w:t xml:space="preserve"> </w:t>
      </w:r>
      <w:r>
        <w:t xml:space="preserve">criticità</w:t>
      </w:r>
    </w:p>
    <w:p>
      <w:pPr>
        <w:pStyle w:val="Author"/>
      </w:pPr>
      <w:r>
        <w:t xml:space="preserve">Manuele</w:t>
      </w:r>
      <w:r>
        <w:t xml:space="preserve"> </w:t>
      </w:r>
      <w:r>
        <w:t xml:space="preserve">Naddeo</w:t>
      </w:r>
    </w:p>
    <w:p>
      <w:pPr>
        <w:pStyle w:val="Abstract"/>
      </w:pPr>
      <w:r>
        <w:t xml:space="preserve">Nel</w:t>
      </w:r>
      <w:r>
        <w:t xml:space="preserve"> </w:t>
      </w:r>
      <w:r>
        <w:t xml:space="preserve">presente</w:t>
      </w:r>
      <w:r>
        <w:t xml:space="preserve"> </w:t>
      </w:r>
      <w:r>
        <w:t xml:space="preserve">studio</w:t>
      </w:r>
      <w:r>
        <w:t xml:space="preserve"> </w:t>
      </w:r>
      <w:r>
        <w:t xml:space="preserve">viene</w:t>
      </w:r>
      <w:r>
        <w:t xml:space="preserve"> </w:t>
      </w:r>
      <w:r>
        <w:t xml:space="preserve">analizzata</w:t>
      </w:r>
      <w:r>
        <w:t xml:space="preserve"> </w:t>
      </w:r>
      <w:r>
        <w:t xml:space="preserve">la</w:t>
      </w:r>
      <w:r>
        <w:t xml:space="preserve"> </w:t>
      </w:r>
      <w:r>
        <w:t xml:space="preserve">tecnica</w:t>
      </w:r>
      <w:r>
        <w:t xml:space="preserve"> </w:t>
      </w:r>
      <w:r>
        <w:t xml:space="preserve">del</w:t>
      </w:r>
      <w:r>
        <w:t xml:space="preserve"> </w:t>
      </w:r>
      <w:r>
        <w:t xml:space="preserve">soil</w:t>
      </w:r>
      <w:r>
        <w:t xml:space="preserve"> </w:t>
      </w:r>
      <w:r>
        <w:t xml:space="preserve">flushing</w:t>
      </w:r>
      <w:r>
        <w:t xml:space="preserve"> </w:t>
      </w:r>
      <w:r>
        <w:t xml:space="preserve">per</w:t>
      </w:r>
      <w:r>
        <w:t xml:space="preserve"> </w:t>
      </w:r>
      <w:r>
        <w:t xml:space="preserve">la</w:t>
      </w:r>
      <w:r>
        <w:t xml:space="preserve"> </w:t>
      </w:r>
      <w:r>
        <w:t xml:space="preserve">bonifica</w:t>
      </w:r>
      <w:r>
        <w:t xml:space="preserve"> </w:t>
      </w:r>
      <w:r>
        <w:t xml:space="preserve">dei</w:t>
      </w:r>
      <w:r>
        <w:t xml:space="preserve"> </w:t>
      </w:r>
      <w:r>
        <w:t xml:space="preserve">siti</w:t>
      </w:r>
      <w:r>
        <w:t xml:space="preserve"> </w:t>
      </w:r>
      <w:r>
        <w:t xml:space="preserve">contaminati.</w:t>
      </w:r>
      <w:r>
        <w:t xml:space="preserve"> </w:t>
      </w:r>
      <w:r>
        <w:t xml:space="preserve">Dopo</w:t>
      </w:r>
      <w:r>
        <w:t xml:space="preserve"> </w:t>
      </w:r>
      <w:r>
        <w:t xml:space="preserve">aver</w:t>
      </w:r>
      <w:r>
        <w:t xml:space="preserve"> </w:t>
      </w:r>
      <w:r>
        <w:t xml:space="preserve">redatto</w:t>
      </w:r>
      <w:r>
        <w:t xml:space="preserve"> </w:t>
      </w:r>
      <w:r>
        <w:t xml:space="preserve">un</w:t>
      </w:r>
      <w:r>
        <w:t xml:space="preserve"> </w:t>
      </w:r>
      <w:r>
        <w:t xml:space="preserve">approfondimento</w:t>
      </w:r>
      <w:r>
        <w:t xml:space="preserve"> </w:t>
      </w:r>
      <w:r>
        <w:t xml:space="preserve">di</w:t>
      </w:r>
      <w:r>
        <w:t xml:space="preserve"> </w:t>
      </w:r>
      <w:r>
        <w:t xml:space="preserve">carattere</w:t>
      </w:r>
      <w:r>
        <w:t xml:space="preserve"> </w:t>
      </w:r>
      <w:r>
        <w:t xml:space="preserve">tecnologico,</w:t>
      </w:r>
      <w:r>
        <w:t xml:space="preserve"> </w:t>
      </w:r>
      <w:r>
        <w:t xml:space="preserve">sono</w:t>
      </w:r>
      <w:r>
        <w:t xml:space="preserve"> </w:t>
      </w:r>
      <w:r>
        <w:t xml:space="preserve">mostrati</w:t>
      </w:r>
      <w:r>
        <w:t xml:space="preserve"> </w:t>
      </w:r>
      <w:r>
        <w:t xml:space="preserve">i</w:t>
      </w:r>
      <w:r>
        <w:t xml:space="preserve"> </w:t>
      </w:r>
      <w:r>
        <w:t xml:space="preserve">fattori</w:t>
      </w:r>
      <w:r>
        <w:t xml:space="preserve"> </w:t>
      </w:r>
      <w:r>
        <w:t xml:space="preserve">da</w:t>
      </w:r>
      <w:r>
        <w:t xml:space="preserve"> </w:t>
      </w:r>
      <w:r>
        <w:t xml:space="preserve">cui</w:t>
      </w:r>
      <w:r>
        <w:t xml:space="preserve"> </w:t>
      </w:r>
      <w:r>
        <w:t xml:space="preserve">tale</w:t>
      </w:r>
      <w:r>
        <w:t xml:space="preserve"> </w:t>
      </w:r>
      <w:r>
        <w:t xml:space="preserve">trattamento</w:t>
      </w:r>
      <w:r>
        <w:t xml:space="preserve"> </w:t>
      </w:r>
      <w:r>
        <w:t xml:space="preserve">dipende</w:t>
      </w:r>
      <w:r>
        <w:t xml:space="preserve"> </w:t>
      </w:r>
      <w:r>
        <w:t xml:space="preserve">e</w:t>
      </w:r>
      <w:r>
        <w:t xml:space="preserve"> </w:t>
      </w:r>
      <w:r>
        <w:t xml:space="preserve">le</w:t>
      </w:r>
      <w:r>
        <w:t xml:space="preserve"> </w:t>
      </w:r>
      <w:r>
        <w:t xml:space="preserve">sue</w:t>
      </w:r>
      <w:r>
        <w:t xml:space="preserve"> </w:t>
      </w:r>
      <w:r>
        <w:t xml:space="preserve">criticità.</w:t>
      </w:r>
      <w:r>
        <w:t xml:space="preserve"> </w:t>
      </w:r>
      <w:r>
        <w:t xml:space="preserve">La</w:t>
      </w:r>
      <w:r>
        <w:t xml:space="preserve"> </w:t>
      </w:r>
      <w:r>
        <w:t xml:space="preserve">letteratura</w:t>
      </w:r>
      <w:r>
        <w:t xml:space="preserve"> </w:t>
      </w:r>
      <w:r>
        <w:t xml:space="preserve">scientifica</w:t>
      </w:r>
      <w:r>
        <w:t xml:space="preserve"> </w:t>
      </w:r>
      <w:r>
        <w:t xml:space="preserve">di</w:t>
      </w:r>
      <w:r>
        <w:t xml:space="preserve"> </w:t>
      </w:r>
      <w:r>
        <w:t xml:space="preserve">settore</w:t>
      </w:r>
      <w:r>
        <w:t xml:space="preserve"> </w:t>
      </w:r>
      <w:r>
        <w:t xml:space="preserve">evidenzia</w:t>
      </w:r>
      <w:r>
        <w:t xml:space="preserve"> </w:t>
      </w:r>
      <w:r>
        <w:t xml:space="preserve">sia</w:t>
      </w:r>
      <w:r>
        <w:t xml:space="preserve"> </w:t>
      </w:r>
      <w:r>
        <w:t xml:space="preserve">le</w:t>
      </w:r>
      <w:r>
        <w:t xml:space="preserve"> </w:t>
      </w:r>
      <w:r>
        <w:t xml:space="preserve">buone</w:t>
      </w:r>
      <w:r>
        <w:t xml:space="preserve"> </w:t>
      </w:r>
      <w:r>
        <w:t xml:space="preserve">prestazioni</w:t>
      </w:r>
      <w:r>
        <w:t xml:space="preserve"> </w:t>
      </w:r>
      <w:r>
        <w:t xml:space="preserve">del</w:t>
      </w:r>
      <w:r>
        <w:t xml:space="preserve"> </w:t>
      </w:r>
      <w:r>
        <w:t xml:space="preserve">soil</w:t>
      </w:r>
      <w:r>
        <w:t xml:space="preserve"> </w:t>
      </w:r>
      <w:r>
        <w:t xml:space="preserve">flushing</w:t>
      </w:r>
      <w:r>
        <w:t xml:space="preserve"> </w:t>
      </w:r>
      <w:r>
        <w:t xml:space="preserve">su</w:t>
      </w:r>
      <w:r>
        <w:t xml:space="preserve"> </w:t>
      </w:r>
      <w:r>
        <w:t xml:space="preserve">scala</w:t>
      </w:r>
      <w:r>
        <w:t xml:space="preserve"> </w:t>
      </w:r>
      <w:r>
        <w:t xml:space="preserve">di</w:t>
      </w:r>
      <w:r>
        <w:t xml:space="preserve"> </w:t>
      </w:r>
      <w:r>
        <w:t xml:space="preserve">laboratorio,</w:t>
      </w:r>
      <w:r>
        <w:t xml:space="preserve"> </w:t>
      </w:r>
      <w:r>
        <w:t xml:space="preserve">sia</w:t>
      </w:r>
      <w:r>
        <w:t xml:space="preserve"> </w:t>
      </w:r>
      <w:r>
        <w:t xml:space="preserve">i</w:t>
      </w:r>
      <w:r>
        <w:t xml:space="preserve"> </w:t>
      </w:r>
      <w:r>
        <w:t xml:space="preserve">fattori</w:t>
      </w:r>
      <w:r>
        <w:t xml:space="preserve"> </w:t>
      </w:r>
      <w:r>
        <w:t xml:space="preserve">che</w:t>
      </w:r>
      <w:r>
        <w:t xml:space="preserve"> </w:t>
      </w:r>
      <w:r>
        <w:t xml:space="preserve">impediscono</w:t>
      </w:r>
      <w:r>
        <w:t xml:space="preserve"> </w:t>
      </w:r>
      <w:r>
        <w:t xml:space="preserve">l’applicazione</w:t>
      </w:r>
      <w:r>
        <w:t xml:space="preserve"> </w:t>
      </w:r>
      <w:r>
        <w:t xml:space="preserve">su</w:t>
      </w:r>
      <w:r>
        <w:t xml:space="preserve"> </w:t>
      </w:r>
      <w:r>
        <w:t xml:space="preserve">scala</w:t>
      </w:r>
      <w:r>
        <w:t xml:space="preserve"> </w:t>
      </w:r>
      <w:r>
        <w:t xml:space="preserve">reale.</w:t>
      </w:r>
      <w:r>
        <w:t xml:space="preserve"> </w:t>
      </w:r>
      <w:r>
        <w:t xml:space="preserve">Al</w:t>
      </w:r>
      <w:r>
        <w:t xml:space="preserve"> </w:t>
      </w:r>
      <w:r>
        <w:t xml:space="preserve">fine</w:t>
      </w:r>
      <w:r>
        <w:t xml:space="preserve"> </w:t>
      </w:r>
      <w:r>
        <w:t xml:space="preserve">di</w:t>
      </w:r>
      <w:r>
        <w:t xml:space="preserve"> </w:t>
      </w:r>
      <w:r>
        <w:t xml:space="preserve">valutare</w:t>
      </w:r>
      <w:r>
        <w:t xml:space="preserve"> </w:t>
      </w:r>
      <w:r>
        <w:t xml:space="preserve">l’applicabilità</w:t>
      </w:r>
      <w:r>
        <w:t xml:space="preserve"> </w:t>
      </w:r>
      <w:r>
        <w:t xml:space="preserve">del</w:t>
      </w:r>
      <w:r>
        <w:t xml:space="preserve"> </w:t>
      </w:r>
      <w:r>
        <w:t xml:space="preserve">trattamento,</w:t>
      </w:r>
      <w:r>
        <w:t xml:space="preserve"> </w:t>
      </w:r>
      <w:r>
        <w:t xml:space="preserve">viene</w:t>
      </w:r>
      <w:r>
        <w:t xml:space="preserve"> </w:t>
      </w:r>
      <w:r>
        <w:t xml:space="preserve">preso</w:t>
      </w:r>
      <w:r>
        <w:t xml:space="preserve"> </w:t>
      </w:r>
      <w:r>
        <w:t xml:space="preserve">in</w:t>
      </w:r>
      <w:r>
        <w:t xml:space="preserve"> </w:t>
      </w:r>
      <w:r>
        <w:t xml:space="preserve">analisi</w:t>
      </w:r>
      <w:r>
        <w:t xml:space="preserve"> </w:t>
      </w:r>
      <w:r>
        <w:t xml:space="preserve">un</w:t>
      </w:r>
      <w:r>
        <w:t xml:space="preserve"> </w:t>
      </w:r>
      <w:r>
        <w:t xml:space="preserve">test</w:t>
      </w:r>
      <w:r>
        <w:t xml:space="preserve"> </w:t>
      </w:r>
      <w:r>
        <w:t xml:space="preserve">pilota</w:t>
      </w:r>
      <w:r>
        <w:t xml:space="preserve"> </w:t>
      </w:r>
      <w:r>
        <w:t xml:space="preserve">realizzato</w:t>
      </w:r>
      <w:r>
        <w:t xml:space="preserve"> </w:t>
      </w:r>
      <w:r>
        <w:t xml:space="preserve">in</w:t>
      </w:r>
      <w:r>
        <w:t xml:space="preserve"> </w:t>
      </w:r>
      <w:r>
        <w:t xml:space="preserve">una</w:t>
      </w:r>
      <w:r>
        <w:t xml:space="preserve"> </w:t>
      </w:r>
      <w:r>
        <w:t xml:space="preserve">discarica</w:t>
      </w:r>
      <w:r>
        <w:t xml:space="preserve"> </w:t>
      </w:r>
      <w:r>
        <w:t xml:space="preserve">contaminata</w:t>
      </w:r>
      <w:r>
        <w:t xml:space="preserve"> </w:t>
      </w:r>
      <w:r>
        <w:t xml:space="preserve">da</w:t>
      </w:r>
      <w:r>
        <w:t xml:space="preserve"> </w:t>
      </w:r>
      <w:r>
        <w:t xml:space="preserve">fasi</w:t>
      </w:r>
      <w:r>
        <w:t xml:space="preserve"> </w:t>
      </w:r>
      <w:r>
        <w:t xml:space="preserve">liquide</w:t>
      </w:r>
      <w:r>
        <w:t xml:space="preserve"> </w:t>
      </w:r>
      <w:r>
        <w:t xml:space="preserve">dense</w:t>
      </w:r>
      <w:r>
        <w:t xml:space="preserve"> </w:t>
      </w:r>
      <w:r>
        <w:t xml:space="preserve">non</w:t>
      </w:r>
      <w:r>
        <w:t xml:space="preserve"> </w:t>
      </w:r>
      <w:r>
        <w:t xml:space="preserve">acquose.</w:t>
      </w:r>
      <w:r>
        <w:t xml:space="preserve"> </w:t>
      </w:r>
      <w:r>
        <w:t xml:space="preserve">I</w:t>
      </w:r>
      <w:r>
        <w:t xml:space="preserve"> </w:t>
      </w:r>
      <w:r>
        <w:t xml:space="preserve">risultati</w:t>
      </w:r>
      <w:r>
        <w:t xml:space="preserve"> </w:t>
      </w:r>
      <w:r>
        <w:t xml:space="preserve">riscontrati</w:t>
      </w:r>
      <w:r>
        <w:t xml:space="preserve"> </w:t>
      </w:r>
      <w:r>
        <w:t xml:space="preserve">sul</w:t>
      </w:r>
      <w:r>
        <w:t xml:space="preserve"> </w:t>
      </w:r>
      <w:r>
        <w:t xml:space="preserve">campo</w:t>
      </w:r>
      <w:r>
        <w:t xml:space="preserve"> </w:t>
      </w:r>
      <w:r>
        <w:t xml:space="preserve">mostrano</w:t>
      </w:r>
      <w:r>
        <w:t xml:space="preserve"> </w:t>
      </w:r>
      <w:r>
        <w:t xml:space="preserve">le</w:t>
      </w:r>
      <w:r>
        <w:t xml:space="preserve"> </w:t>
      </w:r>
      <w:r>
        <w:t xml:space="preserve">concentrazioni</w:t>
      </w:r>
      <w:r>
        <w:t xml:space="preserve"> </w:t>
      </w:r>
      <w:r>
        <w:t xml:space="preserve">nel</w:t>
      </w:r>
      <w:r>
        <w:t xml:space="preserve"> </w:t>
      </w:r>
      <w:r>
        <w:t xml:space="preserve">tempo</w:t>
      </w:r>
      <w:r>
        <w:t xml:space="preserve"> </w:t>
      </w:r>
      <w:r>
        <w:t xml:space="preserve">della</w:t>
      </w:r>
      <w:r>
        <w:t xml:space="preserve"> </w:t>
      </w:r>
      <w:r>
        <w:t xml:space="preserve">soluzione</w:t>
      </w:r>
      <w:r>
        <w:t xml:space="preserve"> </w:t>
      </w:r>
      <w:r>
        <w:t xml:space="preserve">iniettata</w:t>
      </w:r>
      <w:r>
        <w:t xml:space="preserve"> </w:t>
      </w:r>
      <w:r>
        <w:t xml:space="preserve">e</w:t>
      </w:r>
      <w:r>
        <w:t xml:space="preserve"> </w:t>
      </w:r>
      <w:r>
        <w:t xml:space="preserve">degli</w:t>
      </w:r>
      <w:r>
        <w:t xml:space="preserve"> </w:t>
      </w:r>
      <w:r>
        <w:t xml:space="preserve">inquinanti</w:t>
      </w:r>
      <w:r>
        <w:t xml:space="preserve"> </w:t>
      </w:r>
      <w:r>
        <w:t xml:space="preserve">presenti,</w:t>
      </w:r>
      <w:r>
        <w:t xml:space="preserve"> </w:t>
      </w:r>
      <w:r>
        <w:t xml:space="preserve">ed</w:t>
      </w:r>
      <w:r>
        <w:t xml:space="preserve"> </w:t>
      </w:r>
      <w:r>
        <w:t xml:space="preserve">offrono</w:t>
      </w:r>
      <w:r>
        <w:t xml:space="preserve"> </w:t>
      </w:r>
      <w:r>
        <w:t xml:space="preserve">un’analisi</w:t>
      </w:r>
      <w:r>
        <w:t xml:space="preserve"> </w:t>
      </w:r>
      <w:r>
        <w:t xml:space="preserve">sulla</w:t>
      </w:r>
      <w:r>
        <w:t xml:space="preserve"> </w:t>
      </w:r>
      <w:r>
        <w:t xml:space="preserve">dispersione</w:t>
      </w:r>
      <w:r>
        <w:t xml:space="preserve"> </w:t>
      </w:r>
      <w:r>
        <w:t xml:space="preserve">radiale</w:t>
      </w:r>
      <w:r>
        <w:t xml:space="preserve"> </w:t>
      </w:r>
      <w:r>
        <w:t xml:space="preserve">del</w:t>
      </w:r>
      <w:r>
        <w:t xml:space="preserve"> </w:t>
      </w:r>
      <w:r>
        <w:t xml:space="preserve">fluido</w:t>
      </w:r>
      <w:r>
        <w:t xml:space="preserve"> </w:t>
      </w:r>
      <w:r>
        <w:t xml:space="preserve">di</w:t>
      </w:r>
      <w:r>
        <w:t xml:space="preserve"> </w:t>
      </w:r>
      <w:r>
        <w:t xml:space="preserve">lavaggio,</w:t>
      </w:r>
      <w:r>
        <w:t xml:space="preserve"> </w:t>
      </w:r>
      <w:r>
        <w:t xml:space="preserve">considerata</w:t>
      </w:r>
      <w:r>
        <w:t xml:space="preserve"> </w:t>
      </w:r>
      <w:r>
        <w:t xml:space="preserve">ad</w:t>
      </w:r>
      <w:r>
        <w:t xml:space="preserve"> </w:t>
      </w:r>
      <w:r>
        <w:t xml:space="preserve">oggi</w:t>
      </w:r>
      <w:r>
        <w:t xml:space="preserve"> </w:t>
      </w:r>
      <w:r>
        <w:t xml:space="preserve">una</w:t>
      </w:r>
      <w:r>
        <w:t xml:space="preserve"> </w:t>
      </w:r>
      <w:r>
        <w:t xml:space="preserve">delle</w:t>
      </w:r>
      <w:r>
        <w:t xml:space="preserve"> </w:t>
      </w:r>
      <w:r>
        <w:t xml:space="preserve">criticità</w:t>
      </w:r>
      <w:r>
        <w:t xml:space="preserve"> </w:t>
      </w:r>
      <w:r>
        <w:t xml:space="preserve">più</w:t>
      </w:r>
      <w:r>
        <w:t xml:space="preserve"> </w:t>
      </w:r>
      <w:r>
        <w:t xml:space="preserve">importanti</w:t>
      </w:r>
      <w:r>
        <w:t xml:space="preserve"> </w:t>
      </w:r>
      <w:r>
        <w:t xml:space="preserve">di</w:t>
      </w:r>
      <w:r>
        <w:t xml:space="preserve"> </w:t>
      </w:r>
      <w:r>
        <w:t xml:space="preserve">questo</w:t>
      </w:r>
      <w:r>
        <w:t xml:space="preserve"> </w:t>
      </w:r>
      <w:r>
        <w:t xml:space="preserve">trattamento.</w:t>
      </w:r>
    </w:p>
    <w:p>
      <w:pPr>
        <w:pStyle w:val="Heading2"/>
      </w:pPr>
      <w:bookmarkStart w:id="21" w:name="analisi-sullapplicabilità-del-trattamento"/>
      <w:bookmarkEnd w:id="21"/>
      <w:r>
        <w:t xml:space="preserve">Analisi sull’applicabilità del</w:t>
      </w:r>
      <w:r>
        <w:t xml:space="preserve"> </w:t>
      </w:r>
      <w:r>
        <w:t xml:space="preserve">trattamento</w:t>
      </w:r>
    </w:p>
    <w:p>
      <w:pPr>
        <w:pStyle w:val="FirstParagraph"/>
      </w:pPr>
      <w:r>
        <w:t xml:space="preserve">Il soil flushing è una tecnica che consiste nell’immissione di un fluido</w:t>
      </w:r>
      <w:r>
        <w:t xml:space="preserve"> </w:t>
      </w:r>
      <w:r>
        <w:t xml:space="preserve">di lavaggio a monte dell’area contaminata, da recuperare a valle, con</w:t>
      </w:r>
      <w:r>
        <w:t xml:space="preserve"> </w:t>
      </w:r>
      <w:r>
        <w:t xml:space="preserve">l’obiettivo di trasferire i composti contaminati alla fase liquida.</w:t>
      </w:r>
      <w:r>
        <w:t xml:space="preserve"> </w:t>
      </w:r>
      <w:r>
        <w:t xml:space="preserve">L’estrazione del contaminante si verifica mediante il suo passaggio in</w:t>
      </w:r>
      <w:r>
        <w:t xml:space="preserve"> </w:t>
      </w:r>
      <w:r>
        <w:t xml:space="preserve">soluzione ed il conseguente trascinamento della frazione fine.</w:t>
      </w:r>
      <w:r>
        <w:t xml:space="preserve"> </w:t>
      </w:r>
      <w:r>
        <w:t xml:space="preserve">L’immissione del fluido nel terreno comporta il rischio di mobilitare in</w:t>
      </w:r>
      <w:r>
        <w:t xml:space="preserve"> </w:t>
      </w:r>
      <w:r>
        <w:t xml:space="preserve">modo incontrollato i contaminanti, qualora il fluido non venga</w:t>
      </w:r>
      <w:r>
        <w:t xml:space="preserve"> </w:t>
      </w:r>
      <w:r>
        <w:t xml:space="preserve">intercettato dal sistema di estrazione </w:t>
      </w:r>
      <w:r>
        <w:rPr>
          <w:vertAlign w:val="superscript"/>
        </w:rPr>
        <w:t xml:space="preserve">1</w:t>
      </w:r>
      <w:r>
        <w:t xml:space="preserve">. Un intervento</w:t>
      </w:r>
      <w:r>
        <w:t xml:space="preserve"> </w:t>
      </w:r>
      <w:r>
        <w:t xml:space="preserve">di soil flushing è dipendente da diversi fattori che ne condizionano</w:t>
      </w:r>
      <w:r>
        <w:t xml:space="preserve"> </w:t>
      </w:r>
      <w:r>
        <w:t xml:space="preserve">l’efficacia: la conducibilità idraulica, ad esempio, se eccessivamente</w:t>
      </w:r>
      <w:r>
        <w:t xml:space="preserve"> </w:t>
      </w:r>
      <w:r>
        <w:t xml:space="preserve">bassa, limita la portata di fluido che attraversa il suolo rallentando</w:t>
      </w:r>
      <w:r>
        <w:t xml:space="preserve"> </w:t>
      </w:r>
      <w:r>
        <w:t xml:space="preserve">il processo </w:t>
      </w:r>
      <w:r>
        <w:rPr>
          <w:vertAlign w:val="superscript"/>
        </w:rPr>
        <w:t xml:space="preserve">2</w:t>
      </w:r>
      <w:r>
        <w:t xml:space="preserve">. Anche la presenza nel terreno di</w:t>
      </w:r>
      <w:r>
        <w:t xml:space="preserve"> </w:t>
      </w:r>
      <w:r>
        <w:t xml:space="preserve">fratture o irregolarità (fig.1) può compromettere la buona riuscita</w:t>
      </w:r>
      <w:r>
        <w:t xml:space="preserve"> </w:t>
      </w:r>
      <w:r>
        <w:t xml:space="preserve">dell’intervento, a causa della formazione di vie di deflusso</w:t>
      </w:r>
      <w:r>
        <w:t xml:space="preserve"> </w:t>
      </w:r>
      <w:r>
        <w:t xml:space="preserve">preferenziali del fluido di lavaggio. Quest’ultimo può contenere</w:t>
      </w:r>
      <w:r>
        <w:t xml:space="preserve"> </w:t>
      </w:r>
      <w:r>
        <w:t xml:space="preserve">additivi utili ad aumentare la solubilità dei contaminanti, come i</w:t>
      </w:r>
      <w:r>
        <w:t xml:space="preserve"> </w:t>
      </w:r>
      <w:r>
        <w:t xml:space="preserve">tensioattivi; tali sostanze esercitano la loro azione  in soluzione</w:t>
      </w:r>
      <w:r>
        <w:t xml:space="preserve"> </w:t>
      </w:r>
      <w:r>
        <w:t xml:space="preserve">acquosa orientandosi sulle interfacce liquido-gas, liquido-liquido e</w:t>
      </w:r>
      <w:r>
        <w:t xml:space="preserve"> </w:t>
      </w:r>
      <w:r>
        <w:t xml:space="preserve">liquido-solido abbassando la tensione superficiale dell’acqua.  Al fine</w:t>
      </w:r>
      <w:r>
        <w:t xml:space="preserve"> </w:t>
      </w:r>
      <w:r>
        <w:t xml:space="preserve">di favorire il trattamento in situ, al fluido di lavaggio possono essere</w:t>
      </w:r>
      <w:r>
        <w:t xml:space="preserve"> </w:t>
      </w:r>
      <w:r>
        <w:t xml:space="preserve">aggiunti anche agenti ossidanti o riducenti </w:t>
      </w:r>
      <w:r>
        <w:rPr>
          <w:vertAlign w:val="superscript"/>
        </w:rPr>
        <w:t xml:space="preserve">3</w:t>
      </w:r>
      <w:r>
        <w:t xml:space="preserve">. </w:t>
      </w:r>
    </w:p>
    <w:p>
      <w:pPr>
        <w:pStyle w:val="FigureWithCaption"/>
      </w:pPr>
      <w:r>
        <w:drawing>
          <wp:inline>
            <wp:extent cx="2293645" cy="1529096"/>
            <wp:effectExtent b="0" l="0" r="0" t="0"/>
            <wp:docPr descr="Suolo con una rilevante presenza di fratture " title="" id="1" name="Picture"/>
            <a:graphic>
              <a:graphicData uri="http://schemas.openxmlformats.org/drawingml/2006/picture">
                <pic:pic>
                  <pic:nvPicPr>
                    <pic:cNvPr descr="figures/foto-copertina-articolo-2/foto-copertina-articolo-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45" cy="152909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Suolo con una rilevante presenza di fratture</w:t>
      </w:r>
      <w:r>
        <w:t xml:space="preserve"> </w:t>
      </w:r>
    </w:p>
    <w:p>
      <w:pPr>
        <w:pStyle w:val="BodyText"/>
      </w:pPr>
      <w:r>
        <w:t xml:space="preserve">Il sistema di estrazione è caratterizzato da un’area di influenza, cioè</w:t>
      </w:r>
      <w:r>
        <w:t xml:space="preserve"> </w:t>
      </w:r>
      <w:r>
        <w:t xml:space="preserve">l’area entro la quale si attiva un flusso capace di trascinare i</w:t>
      </w:r>
      <w:r>
        <w:t xml:space="preserve"> </w:t>
      </w:r>
      <w:r>
        <w:t xml:space="preserve">contaminanti. Per tale ragione è fondamentale prevedere una quantità e</w:t>
      </w:r>
      <w:r>
        <w:t xml:space="preserve"> </w:t>
      </w:r>
      <w:r>
        <w:t xml:space="preserve">disposizione di punti di estrazione efficace, affinché l’area</w:t>
      </w:r>
      <w:r>
        <w:t xml:space="preserve"> </w:t>
      </w:r>
      <w:r>
        <w:t xml:space="preserve">interessata sia interamente trattata. Lo schema di funzionamento di un</w:t>
      </w:r>
      <w:r>
        <w:t xml:space="preserve"> </w:t>
      </w:r>
      <w:r>
        <w:t xml:space="preserve">sistema Soil Flushing è rappresentato in figura 2. </w:t>
      </w:r>
    </w:p>
    <w:p>
      <w:pPr>
        <w:pStyle w:val="FigureWithCaption"/>
      </w:pPr>
      <w:r>
        <w:drawing>
          <wp:inline>
            <wp:extent cx="1196400" cy="757200"/>
            <wp:effectExtent b="0" l="0" r="0" t="0"/>
            <wp:docPr descr="Schema di funzionamento Soil flushing " title="" id="1" name="Picture"/>
            <a:graphic>
              <a:graphicData uri="http://schemas.openxmlformats.org/drawingml/2006/picture">
                <pic:pic>
                  <pic:nvPicPr>
                    <pic:cNvPr descr="figures/schema-SF-per-articolo/schema-SF-per-articolo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400" cy="757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Schema di funzionamento Soil flushing</w:t>
      </w:r>
      <w:r>
        <w:t xml:space="preserve"> </w:t>
      </w:r>
    </w:p>
    <w:p>
      <w:pPr>
        <w:pStyle w:val="BodyText"/>
      </w:pPr>
      <w:r>
        <w:t xml:space="preserve">Tale trattamento presenta il vantaggio di essere applicabile ad una</w:t>
      </w:r>
      <w:r>
        <w:t xml:space="preserve"> </w:t>
      </w:r>
      <w:r>
        <w:t xml:space="preserve">vasta gamma di contaminanti, causando un disturbo minimo alle attività</w:t>
      </w:r>
      <w:r>
        <w:t xml:space="preserve"> </w:t>
      </w:r>
      <w:r>
        <w:t xml:space="preserve">che si svolgono sul sito, e prevedendo eventuali combinazioni con altre</w:t>
      </w:r>
      <w:r>
        <w:t xml:space="preserve"> </w:t>
      </w:r>
      <w:r>
        <w:t xml:space="preserve">tecniche di bonifica. Allo stesso tempo però risulta essere fortemente</w:t>
      </w:r>
      <w:r>
        <w:t xml:space="preserve"> </w:t>
      </w:r>
      <w:r>
        <w:t xml:space="preserve">condizionato dalle caratteristiche del sito, che possono abbassare il</w:t>
      </w:r>
      <w:r>
        <w:t xml:space="preserve"> </w:t>
      </w:r>
      <w:r>
        <w:t xml:space="preserve">rendimento finale, limitare la bonifica solo ad alcune vie</w:t>
      </w:r>
      <w:r>
        <w:t xml:space="preserve"> </w:t>
      </w:r>
      <w:r>
        <w:t xml:space="preserve">preferenziali, o mobilitare in maniera incontrollata contaminanti e</w:t>
      </w:r>
      <w:r>
        <w:t xml:space="preserve"> </w:t>
      </w:r>
      <w:r>
        <w:t xml:space="preserve">soluzione di lavaggio nel suolo. Lo studio della letteratura scientifica</w:t>
      </w:r>
      <w:r>
        <w:t xml:space="preserve"> </w:t>
      </w:r>
      <w:r>
        <w:t xml:space="preserve">è utile a trovare un riscontro reale riguardo i vantaggi e limiti della</w:t>
      </w:r>
      <w:r>
        <w:t xml:space="preserve"> </w:t>
      </w:r>
      <w:r>
        <w:t xml:space="preserve">tecnologia: sono stati rilevati risultati interessanti nell’ambito delle</w:t>
      </w:r>
      <w:r>
        <w:t xml:space="preserve"> </w:t>
      </w:r>
      <w:r>
        <w:t xml:space="preserve">applicazioni su scala di laboratorio, sia nel caso di terreni</w:t>
      </w:r>
      <w:r>
        <w:t xml:space="preserve"> </w:t>
      </w:r>
      <w:r>
        <w:t xml:space="preserve">contaminati artificialmente sia su colonne di terreno contaminato</w:t>
      </w:r>
      <w:r>
        <w:t xml:space="preserve"> </w:t>
      </w:r>
      <w:r>
        <w:t xml:space="preserve">prelevate in sito </w:t>
      </w:r>
      <w:r>
        <w:rPr>
          <w:vertAlign w:val="superscript"/>
        </w:rPr>
        <w:t xml:space="preserve">4</w:t>
      </w:r>
      <w:r>
        <w:t xml:space="preserve">. Gli studi di laboratorio hanno</w:t>
      </w:r>
      <w:r>
        <w:t xml:space="preserve"> </w:t>
      </w:r>
      <w:r>
        <w:t xml:space="preserve">mostrato rimozioni di contaminanti volatili organici con rendimenti che</w:t>
      </w:r>
      <w:r>
        <w:t xml:space="preserve"> </w:t>
      </w:r>
      <w:r>
        <w:t xml:space="preserve">vanno dal 90 al 99 %, e di contaminanti organici semivolatili tramite</w:t>
      </w:r>
      <w:r>
        <w:t xml:space="preserve"> </w:t>
      </w:r>
      <w:r>
        <w:t xml:space="preserve">tensioattivi con rendimenti dal 40 al 90 %. Alte rimozioni sono</w:t>
      </w:r>
      <w:r>
        <w:t xml:space="preserve"> </w:t>
      </w:r>
      <w:r>
        <w:t xml:space="preserve">raggiunte nel caso di composti inorganici sfruttando soluzioni diluite</w:t>
      </w:r>
      <w:r>
        <w:t xml:space="preserve"> </w:t>
      </w:r>
      <w:r>
        <w:t xml:space="preserve">di acidi o basi, e di metalli o pesticidi con l’uso di soluzioni acide e</w:t>
      </w:r>
      <w:r>
        <w:t xml:space="preserve"> </w:t>
      </w:r>
      <w:r>
        <w:t xml:space="preserve">di agenti chelanti. Allo stesso tempo è stata riscontrata una</w:t>
      </w:r>
      <w:r>
        <w:t xml:space="preserve"> </w:t>
      </w:r>
      <w:r>
        <w:t xml:space="preserve">modestissima quantità di lavori applicati su scala reale, o studi di</w:t>
      </w:r>
      <w:r>
        <w:t xml:space="preserve"> </w:t>
      </w:r>
      <w:r>
        <w:t xml:space="preserve">interventi di bonifica con soil flushing per il trattamento di un sito</w:t>
      </w:r>
      <w:r>
        <w:t xml:space="preserve"> </w:t>
      </w:r>
      <w:r>
        <w:t xml:space="preserve">inquinato; la ragione è correlata alla numerosità di variabili da cui</w:t>
      </w:r>
      <w:r>
        <w:t xml:space="preserve"> </w:t>
      </w:r>
      <w:r>
        <w:t xml:space="preserve">tale tecnologia dipende e agli effettivi rendimenti su scale</w:t>
      </w:r>
      <w:r>
        <w:t xml:space="preserve"> </w:t>
      </w:r>
      <w:r>
        <w:t xml:space="preserve">reale </w:t>
      </w:r>
      <w:r>
        <w:rPr>
          <w:vertAlign w:val="superscript"/>
        </w:rPr>
        <w:t xml:space="preserve">567</w:t>
      </w:r>
      <w:r>
        <w:t xml:space="preserve">. Le</w:t>
      </w:r>
      <w:r>
        <w:t xml:space="preserve"> </w:t>
      </w:r>
      <w:r>
        <w:t xml:space="preserve">criticità di un trattamento, infatti, condizionano significativamente</w:t>
      </w:r>
      <w:r>
        <w:t xml:space="preserve"> </w:t>
      </w:r>
      <w:r>
        <w:t xml:space="preserve">l’intervento da ottemperare per il soddisfacimento degli obiettivi di</w:t>
      </w:r>
      <w:r>
        <w:t xml:space="preserve"> </w:t>
      </w:r>
      <w:r>
        <w:t xml:space="preserve">bonifica imposti dalla normativa. Dal punto di vista legislativo, in</w:t>
      </w:r>
      <w:r>
        <w:t xml:space="preserve"> </w:t>
      </w:r>
      <w:r>
        <w:t xml:space="preserve">Italia la bonifica dei siti contaminati è trattata nella Parte IV,</w:t>
      </w:r>
      <w:r>
        <w:t xml:space="preserve"> </w:t>
      </w:r>
      <w:r>
        <w:t xml:space="preserve">Titolo V, del D.Lgs. 152/06. Al suo interno è introdotto il concetto di</w:t>
      </w:r>
      <w:r>
        <w:t xml:space="preserve"> </w:t>
      </w:r>
      <w:r>
        <w:t xml:space="preserve">Concentrazione Soglia di Contaminazione (CSC) e Concentrazione Soglia di</w:t>
      </w:r>
      <w:r>
        <w:t xml:space="preserve"> </w:t>
      </w:r>
      <w:r>
        <w:t xml:space="preserve">Rischio (CSR). I valori di CSR delineano gli obiettivi della bonifica</w:t>
      </w:r>
      <w:r>
        <w:t xml:space="preserve"> </w:t>
      </w:r>
      <w:r>
        <w:t xml:space="preserve">per le matrici contaminate garantendo la salute dell’uomo e la</w:t>
      </w:r>
      <w:r>
        <w:t xml:space="preserve"> </w:t>
      </w:r>
      <w:r>
        <w:t xml:space="preserve">salvaguardia dell’ambiente. L’analisi di rischio dettata dal D.Lgs.</w:t>
      </w:r>
      <w:r>
        <w:t xml:space="preserve"> </w:t>
      </w:r>
      <w:r>
        <w:t xml:space="preserve">152/06 prende in considerazione unicamente gli effetti sulla salute</w:t>
      </w:r>
      <w:r>
        <w:t xml:space="preserve"> </w:t>
      </w:r>
      <w:r>
        <w:t xml:space="preserve">umana, tralasciando la valutazione del rischio ecologico. Analizzando</w:t>
      </w:r>
      <w:r>
        <w:t xml:space="preserve"> </w:t>
      </w:r>
      <w:r>
        <w:t xml:space="preserve">invece il quadro normativo di riferimento in ambito Europeo, la</w:t>
      </w:r>
      <w:r>
        <w:t xml:space="preserve"> </w:t>
      </w:r>
      <w:r>
        <w:t xml:space="preserve">Direttiva Quadro COM 2006-231 fissa obiettivi e principi comuni, e</w:t>
      </w:r>
      <w:r>
        <w:t xml:space="preserve"> </w:t>
      </w:r>
      <w:r>
        <w:t xml:space="preserve">prevede che gli Stati membri abbiano la possibilità di applicare</w:t>
      </w:r>
      <w:r>
        <w:t xml:space="preserve"> </w:t>
      </w:r>
      <w:r>
        <w:t xml:space="preserve">l’approccio amministrativo e territoriale che ritengono più opportuno.</w:t>
      </w:r>
    </w:p>
    <w:p>
      <w:pPr>
        <w:pStyle w:val="Heading2"/>
      </w:pPr>
      <w:bookmarkStart w:id="24" w:name="realizzazione-di-un-test-pilota-in-discarica"/>
      <w:bookmarkEnd w:id="24"/>
      <w:r>
        <w:t xml:space="preserve">Realizzazione di un test pilota in</w:t>
      </w:r>
      <w:r>
        <w:t xml:space="preserve"> </w:t>
      </w:r>
      <w:r>
        <w:t xml:space="preserve">discarica</w:t>
      </w:r>
    </w:p>
    <w:p>
      <w:pPr>
        <w:pStyle w:val="FirstParagraph"/>
      </w:pPr>
      <w:r>
        <w:t xml:space="preserve">La letteratura scientifica di settore offre un interessante studio ove</w:t>
      </w:r>
      <w:r>
        <w:t xml:space="preserve"> </w:t>
      </w:r>
      <w:r>
        <w:t xml:space="preserve">una soluzione acquosa contenente un tensioattivo biodegradabile viene</w:t>
      </w:r>
      <w:r>
        <w:t xml:space="preserve"> </w:t>
      </w:r>
      <w:r>
        <w:t xml:space="preserve">iniettata in un sito alluvionale divenuto una discarica a cielo aperto.</w:t>
      </w:r>
      <w:r>
        <w:t xml:space="preserve"> </w:t>
      </w:r>
      <w:r>
        <w:t xml:space="preserve">Il territorio risulta essere contaminato in alcune sue zone con sostanze</w:t>
      </w:r>
      <w:r>
        <w:t xml:space="preserve"> </w:t>
      </w:r>
      <w:r>
        <w:t xml:space="preserve">organiche liquide con densità maggiore di quella dell’acqua (DNAPL).</w:t>
      </w:r>
      <w:r>
        <w:t xml:space="preserve"> </w:t>
      </w:r>
      <w:r>
        <w:t xml:space="preserve">Tale inquinante è formato da una miscela di oltre 28 composti clorurati,</w:t>
      </w:r>
      <w:r>
        <w:t xml:space="preserve"> </w:t>
      </w:r>
      <w:r>
        <w:t xml:space="preserve">e presenta elevate concentrazioni di lindano (un insetticida</w:t>
      </w:r>
      <w:r>
        <w:t xml:space="preserve"> </w:t>
      </w:r>
      <w:r>
        <w:t xml:space="preserve">clororganico). In caso di contatto accidentale con acque sotterranee, le</w:t>
      </w:r>
      <w:r>
        <w:t xml:space="preserve"> </w:t>
      </w:r>
      <w:r>
        <w:t xml:space="preserve">DNAPL tendono a giungere sul fondo della falda per percolazione,</w:t>
      </w:r>
      <w:r>
        <w:t xml:space="preserve"> </w:t>
      </w:r>
      <w:r>
        <w:t xml:space="preserve">generando così l’inquinamento dell’acquifero </w:t>
      </w:r>
      <w:r>
        <w:rPr>
          <w:vertAlign w:val="superscript"/>
        </w:rPr>
        <w:t xml:space="preserve">8</w:t>
      </w:r>
      <w:r>
        <w:t xml:space="preserve">. Il sito</w:t>
      </w:r>
      <w:r>
        <w:t xml:space="preserve"> </w:t>
      </w:r>
      <w:r>
        <w:t xml:space="preserve">della discarica è costituito da uno strato di ghiaia e sabbia con</w:t>
      </w:r>
      <w:r>
        <w:t xml:space="preserve"> </w:t>
      </w:r>
      <w:r>
        <w:t xml:space="preserve">elevata permeabilità ma un gradiente idraulico basso, situato tra uno</w:t>
      </w:r>
      <w:r>
        <w:t xml:space="preserve"> </w:t>
      </w:r>
      <w:r>
        <w:t xml:space="preserve">strato di calce ed uno di marne, entrambi a bassa</w:t>
      </w:r>
      <w:r>
        <w:t xml:space="preserve"> </w:t>
      </w:r>
      <w:r>
        <w:t xml:space="preserve">permeabilità </w:t>
      </w:r>
      <w:r>
        <w:rPr>
          <w:vertAlign w:val="superscript"/>
        </w:rPr>
        <w:t xml:space="preserve">9</w:t>
      </w:r>
      <w:r>
        <w:t xml:space="preserve">. Per studiare il trasporto dei fluidi</w:t>
      </w:r>
      <w:r>
        <w:t xml:space="preserve"> </w:t>
      </w:r>
      <w:r>
        <w:t xml:space="preserve">iniettati, si è aggiunto un tracciante conservativo, il bromuro, alla</w:t>
      </w:r>
      <w:r>
        <w:t xml:space="preserve"> </w:t>
      </w:r>
      <w:r>
        <w:t xml:space="preserve">soluzione di tensioattivo iniettata. È stata valutata la dispersione del</w:t>
      </w:r>
      <w:r>
        <w:t xml:space="preserve"> </w:t>
      </w:r>
      <w:r>
        <w:t xml:space="preserve">fluido iniettato, l’adsorbimento del tensioattivo, la sua capacità di</w:t>
      </w:r>
      <w:r>
        <w:t xml:space="preserve"> </w:t>
      </w:r>
      <w:r>
        <w:t xml:space="preserve">lavaggio, la concentrazione di contaminanti, di bromuro e di</w:t>
      </w:r>
      <w:r>
        <w:t xml:space="preserve"> </w:t>
      </w:r>
      <w:r>
        <w:t xml:space="preserve">tensioattivo. Le misure sono state realizzate nel punto di iniezione e</w:t>
      </w:r>
      <w:r>
        <w:t xml:space="preserve"> </w:t>
      </w:r>
      <w:r>
        <w:t xml:space="preserve">in tre punti di monitoraggio: due pozzi di monitoraggio sono stati</w:t>
      </w:r>
      <w:r>
        <w:t xml:space="preserve"> </w:t>
      </w:r>
      <w:r>
        <w:t xml:space="preserve">costruiti a 2.5  metri e a 3 metri dal punto di iniezione, mentre un</w:t>
      </w:r>
      <w:r>
        <w:t xml:space="preserve"> </w:t>
      </w:r>
      <w:r>
        <w:t xml:space="preserve">vecchio pozzetto di monitoraggio era già presente a 3.5 metri dal punto</w:t>
      </w:r>
      <w:r>
        <w:t xml:space="preserve"> </w:t>
      </w:r>
      <w:r>
        <w:t xml:space="preserve">di iniezione. Il tensioattivo è di natura biodegradabile e non tossica,</w:t>
      </w:r>
      <w:r>
        <w:t xml:space="preserve"> </w:t>
      </w:r>
      <w:r>
        <w:t xml:space="preserve">ed è stato ampiamente testato in studi su scala reale e di</w:t>
      </w:r>
      <w:r>
        <w:t xml:space="preserve"> </w:t>
      </w:r>
      <w:r>
        <w:t xml:space="preserve">laboratorio </w:t>
      </w:r>
      <w:r>
        <w:rPr>
          <w:vertAlign w:val="superscript"/>
        </w:rPr>
        <w:t xml:space="preserve">10</w:t>
      </w:r>
      <w:r>
        <w:t xml:space="preserve">. I pozzetti di monitoraggio sono stati</w:t>
      </w:r>
      <w:r>
        <w:t xml:space="preserve"> </w:t>
      </w:r>
      <w:r>
        <w:t xml:space="preserve">periodicamente campionati a una profondità di 14.5 metri con una pompa</w:t>
      </w:r>
      <w:r>
        <w:t xml:space="preserve"> </w:t>
      </w:r>
      <w:r>
        <w:t xml:space="preserve">elettrica; la campionatura è avvenuta prima dell’iniezione, ed in</w:t>
      </w:r>
      <w:r>
        <w:t xml:space="preserve"> </w:t>
      </w:r>
      <w:r>
        <w:t xml:space="preserve">diversi istanti temporali dopo la sua conclusione. Un ulteriore</w:t>
      </w:r>
      <w:r>
        <w:t xml:space="preserve"> </w:t>
      </w:r>
      <w:r>
        <w:t xml:space="preserve">monitoraggio delle concentrazioni di composti organici clorurati (COC) e</w:t>
      </w:r>
      <w:r>
        <w:t xml:space="preserve"> </w:t>
      </w:r>
      <w:r>
        <w:t xml:space="preserve">lindano nelle acque sotterranee è stata condotta 15 giorni e un mese</w:t>
      </w:r>
      <w:r>
        <w:t xml:space="preserve"> </w:t>
      </w:r>
      <w:r>
        <w:t xml:space="preserve">dopo l’iniezione del tensioattivo. </w:t>
      </w:r>
    </w:p>
    <w:p>
      <w:pPr>
        <w:pStyle w:val="BodyText"/>
      </w:pPr>
      <w:r>
        <w:t xml:space="preserve">Dai risultati ottenuti si è osservata un’elevata dispersione radiale</w:t>
      </w:r>
      <w:r>
        <w:t xml:space="preserve"> </w:t>
      </w:r>
      <w:r>
        <w:t xml:space="preserve">della soluzione, con una conseguente diluizione del fluido iniettato,</w:t>
      </w:r>
      <w:r>
        <w:t xml:space="preserve"> </w:t>
      </w:r>
      <w:r>
        <w:t xml:space="preserve">che può essere spiegata dall’elevata permeabilità dello strato</w:t>
      </w:r>
      <w:r>
        <w:t xml:space="preserve"> </w:t>
      </w:r>
      <w:r>
        <w:t xml:space="preserve">alluvionale. La concentrazione di COC nelle acque sotterranee a seguito</w:t>
      </w:r>
      <w:r>
        <w:t xml:space="preserve"> </w:t>
      </w:r>
      <w:r>
        <w:t xml:space="preserve">dell’iniezione presenta valori crescenti all’aumentare della distanza</w:t>
      </w:r>
      <w:r>
        <w:t xml:space="preserve"> </w:t>
      </w:r>
      <w:r>
        <w:t xml:space="preserve">dal punto di iniezione stesso. Inoltre, al crescere del tempo di</w:t>
      </w:r>
      <w:r>
        <w:t xml:space="preserve"> </w:t>
      </w:r>
      <w:r>
        <w:t xml:space="preserve">contatto tra il suolo e la fase contenente il tensioattivo aumentano i</w:t>
      </w:r>
      <w:r>
        <w:t xml:space="preserve"> </w:t>
      </w:r>
      <w:r>
        <w:t xml:space="preserve">COC disciolti. Nonostante sia stato estratto circa il doppio del volume</w:t>
      </w:r>
      <w:r>
        <w:t xml:space="preserve"> </w:t>
      </w:r>
      <w:r>
        <w:t xml:space="preserve">acquoso iniettato, solo il 52% del tracciante e circa il 9% del</w:t>
      </w:r>
      <w:r>
        <w:t xml:space="preserve"> </w:t>
      </w:r>
      <w:r>
        <w:t xml:space="preserve">tensioattivo iniettato è stato recuperato. Si denota un recupero di</w:t>
      </w:r>
      <w:r>
        <w:t xml:space="preserve"> </w:t>
      </w:r>
      <w:r>
        <w:t xml:space="preserve">tensioattivo piuttosto basso, a causa dell’adsorbimento nel terreno</w:t>
      </w:r>
      <w:r>
        <w:t xml:space="preserve"> </w:t>
      </w:r>
      <w:r>
        <w:t xml:space="preserve">avvenuto durante le ore successive all’iniezione. Le concentrazioni di</w:t>
      </w:r>
      <w:r>
        <w:t xml:space="preserve"> </w:t>
      </w:r>
      <w:r>
        <w:t xml:space="preserve">bromuro, infatti, mostrano che il tensioattivo non è stato assorbito nel</w:t>
      </w:r>
      <w:r>
        <w:t xml:space="preserve"> </w:t>
      </w:r>
      <w:r>
        <w:t xml:space="preserve">terreno durante l’iniezione, ma solo successivamente ad essa. Poiché è</w:t>
      </w:r>
      <w:r>
        <w:t xml:space="preserve"> </w:t>
      </w:r>
      <w:r>
        <w:t xml:space="preserve">avvenuto l’adsorbimento del tensioattivo nel suolo, è necessario</w:t>
      </w:r>
      <w:r>
        <w:t xml:space="preserve"> </w:t>
      </w:r>
      <w:r>
        <w:t xml:space="preserve">valutare il suo effetto sui COC nel tempo: tutti i pozzetti sono stati</w:t>
      </w:r>
      <w:r>
        <w:t xml:space="preserve"> </w:t>
      </w:r>
      <w:r>
        <w:t xml:space="preserve">monitorati per 30 giorni dopo il lavaggio, e i risultati sono stati</w:t>
      </w:r>
      <w:r>
        <w:t xml:space="preserve"> </w:t>
      </w:r>
      <w:r>
        <w:t xml:space="preserve">confrontati con la concentrazione di lindano monitorata nei campioni di</w:t>
      </w:r>
      <w:r>
        <w:t xml:space="preserve"> </w:t>
      </w:r>
      <w:r>
        <w:t xml:space="preserve">acque sotterranee prelevate prima dell’iniezione del tensioattivo. I</w:t>
      </w:r>
      <w:r>
        <w:t xml:space="preserve"> </w:t>
      </w:r>
      <w:r>
        <w:t xml:space="preserve">risultati mostrano che l’iniezione di tensioattivo non ha causato un</w:t>
      </w:r>
      <w:r>
        <w:t xml:space="preserve"> </w:t>
      </w:r>
      <w:r>
        <w:t xml:space="preserve">aumento della concentrazione di lindano. Sono stati monitorati altri</w:t>
      </w:r>
      <w:r>
        <w:t xml:space="preserve"> </w:t>
      </w:r>
      <w:r>
        <w:t xml:space="preserve">pozzi nelle vicinanze della cella di prova e nella direzione del flusso</w:t>
      </w:r>
      <w:r>
        <w:t xml:space="preserve"> </w:t>
      </w:r>
      <w:r>
        <w:t xml:space="preserve">delle acque sotterranee, fino a quattro mesi dopo l’iniezione del</w:t>
      </w:r>
      <w:r>
        <w:t xml:space="preserve"> </w:t>
      </w:r>
      <w:r>
        <w:t xml:space="preserve">tensioattivo e confrontati con i valori precedenti. Anche in tale caso i</w:t>
      </w:r>
      <w:r>
        <w:t xml:space="preserve"> </w:t>
      </w:r>
      <w:r>
        <w:t xml:space="preserve">risultati mostrano che, dopo l’estrazione del fluido, la concentrazione</w:t>
      </w:r>
      <w:r>
        <w:t xml:space="preserve"> </w:t>
      </w:r>
      <w:r>
        <w:t xml:space="preserve">di lindano non ha avuto incrementi significativi.</w:t>
      </w:r>
    </w:p>
    <w:p>
      <w:pPr>
        <w:pStyle w:val="Heading2"/>
      </w:pPr>
      <w:bookmarkStart w:id="25" w:name="considerazioni-conclusive"/>
      <w:bookmarkEnd w:id="25"/>
      <w:r>
        <w:t xml:space="preserve">Considerazioni conclusive</w:t>
      </w:r>
    </w:p>
    <w:p>
      <w:pPr>
        <w:pStyle w:val="FirstParagraph"/>
      </w:pPr>
      <w:r>
        <w:t xml:space="preserve">Nel seguente lavoro viene analizzato il funzionamento del soil flushing</w:t>
      </w:r>
      <w:r>
        <w:t xml:space="preserve"> </w:t>
      </w:r>
      <w:r>
        <w:t xml:space="preserve">per la bonifica dei siti contaminati. Lo studio bibliografico ha</w:t>
      </w:r>
      <w:r>
        <w:t xml:space="preserve"> </w:t>
      </w:r>
      <w:r>
        <w:t xml:space="preserve">condotto alle seguenti conclusioni: su scala di laboratorio, tale</w:t>
      </w:r>
      <w:r>
        <w:t xml:space="preserve"> </w:t>
      </w:r>
      <w:r>
        <w:t xml:space="preserve">trattamento ha raggiunto validi rendimenti di rimozione, ma le sue</w:t>
      </w:r>
      <w:r>
        <w:t xml:space="preserve"> </w:t>
      </w:r>
      <w:r>
        <w:t xml:space="preserve">criticità hanno comportato un numero di applicazioni su scala reale</w:t>
      </w:r>
      <w:r>
        <w:t xml:space="preserve"> </w:t>
      </w:r>
      <w:r>
        <w:t xml:space="preserve">limitato. Oltre ai costi non trascurabili, il soil flushing è</w:t>
      </w:r>
      <w:r>
        <w:t xml:space="preserve"> </w:t>
      </w:r>
      <w:r>
        <w:t xml:space="preserve">influenzato dalla conducibilità idraulica, dalla permeabilità e dalla</w:t>
      </w:r>
      <w:r>
        <w:t xml:space="preserve"> </w:t>
      </w:r>
      <w:r>
        <w:t xml:space="preserve">struttura del suolo. Va considerato anche il rischio di non riuscire a</w:t>
      </w:r>
      <w:r>
        <w:t xml:space="preserve"> </w:t>
      </w:r>
      <w:r>
        <w:t xml:space="preserve">recuperare il fluido di lavaggio, e di una potenziale</w:t>
      </w:r>
      <w:r>
        <w:t xml:space="preserve"> </w:t>
      </w:r>
      <w:r>
        <w:t xml:space="preserve">cross-contamination. L’analisi del caso studio realizzato in una</w:t>
      </w:r>
      <w:r>
        <w:t xml:space="preserve"> </w:t>
      </w:r>
      <w:r>
        <w:t xml:space="preserve">discarica in Spagna ha messo in luce l’importante dispersione radiale</w:t>
      </w:r>
      <w:r>
        <w:t xml:space="preserve"> </w:t>
      </w:r>
      <w:r>
        <w:t xml:space="preserve">del fluido, l’incidenza del tempo di contatto sul rendimento finale, e</w:t>
      </w:r>
      <w:r>
        <w:t xml:space="preserve"> </w:t>
      </w:r>
      <w:r>
        <w:t xml:space="preserve">come l’adsorbimento del tensioattivo nel suolo aiuti a controllare la</w:t>
      </w:r>
      <w:r>
        <w:t xml:space="preserve"> </w:t>
      </w:r>
      <w:r>
        <w:t xml:space="preserve">dispersione della contaminazione nel tempo.</w:t>
      </w:r>
    </w:p>
    <w:p>
      <w:pPr>
        <w:pStyle w:val="Heading1"/>
      </w:pPr>
      <w:bookmarkStart w:id="26" w:name="references"/>
      <w:bookmarkEnd w:id="26"/>
      <w:r>
        <w:t xml:space="preserve">References</w:t>
      </w:r>
    </w:p>
    <w:p>
      <w:pPr>
        <w:pStyle w:val="FirstParagraph"/>
      </w:pPr>
      <w:r>
        <w:t xml:space="preserve">1.Kang, S., Lim, H. S., Gao, Y., Kang, J. &amp; Jeong, H. Y.</w:t>
      </w:r>
      <w:r>
        <w:t xml:space="preserve"> </w:t>
      </w:r>
      <w:r>
        <w:t xml:space="preserve">Evaluation of ethoxylated nonionic surfactants for solubilization of chlorinated organic phases: Effects of partitioning loss and macroemulsion formation</w:t>
      </w:r>
      <w:r>
        <w:t xml:space="preserve">.</w:t>
      </w:r>
      <w:r>
        <w:t xml:space="preserve"> </w:t>
      </w:r>
      <w:r>
        <w:rPr>
          <w:i/>
        </w:rPr>
        <w:t xml:space="preserve">Journal of Contaminant Hydrology</w:t>
      </w:r>
      <w:r>
        <w:t xml:space="preserve"> </w:t>
      </w:r>
      <w:r>
        <w:rPr>
          <w:b/>
        </w:rPr>
        <w:t xml:space="preserve">223</w:t>
      </w:r>
      <w:r>
        <w:t xml:space="preserve">, 103475 (2019).</w:t>
      </w:r>
    </w:p>
    <w:p>
      <w:pPr>
        <w:pStyle w:val="BodyText"/>
      </w:pPr>
      <w:r>
        <w:t xml:space="preserve">2.Cappucci, S., Levizzari, R. &amp; Maffucci, M.</w:t>
      </w:r>
      <w:r>
        <w:t xml:space="preserve"> </w:t>
      </w:r>
      <w:r>
        <w:rPr>
          <w:i/>
        </w:rPr>
        <w:t xml:space="preserve">Metodologie di messa in sicurezza e bonifica di siti contaminati</w:t>
      </w:r>
      <w:r>
        <w:t xml:space="preserve">. (ENEA, 2008).</w:t>
      </w:r>
    </w:p>
    <w:p>
      <w:pPr>
        <w:pStyle w:val="BodyText"/>
      </w:pPr>
      <w:r>
        <w:t xml:space="preserve">3.Mao, X., Jiang, R., Xiao, W. &amp; Yu, J.</w:t>
      </w:r>
      <w:r>
        <w:t xml:space="preserve"> </w:t>
      </w:r>
      <w:r>
        <w:t xml:space="preserve">Use of surfactants for the remediation of contaminated soils: A review</w:t>
      </w:r>
      <w:r>
        <w:t xml:space="preserve">.</w:t>
      </w:r>
      <w:r>
        <w:t xml:space="preserve"> </w:t>
      </w:r>
      <w:r>
        <w:rPr>
          <w:i/>
        </w:rPr>
        <w:t xml:space="preserve">Journal of Hazardous Materials</w:t>
      </w:r>
      <w:r>
        <w:t xml:space="preserve"> </w:t>
      </w:r>
      <w:r>
        <w:rPr>
          <w:b/>
        </w:rPr>
        <w:t xml:space="preserve">285</w:t>
      </w:r>
      <w:r>
        <w:t xml:space="preserve">, 419–435 (2015).</w:t>
      </w:r>
    </w:p>
    <w:p>
      <w:pPr>
        <w:pStyle w:val="BodyText"/>
      </w:pPr>
      <w:r>
        <w:t xml:space="preserve">4.Long, A., Zhang, H. &amp; Lei, Y.</w:t>
      </w:r>
      <w:r>
        <w:t xml:space="preserve"> </w:t>
      </w:r>
      <w:r>
        <w:t xml:space="preserve">Surfactant flushing remediation of toluene contaminated soil: Optimization with response surface methodology and surfactant recovery by selective oxidation with sulfate radicals</w:t>
      </w:r>
      <w:r>
        <w:t xml:space="preserve">.</w:t>
      </w:r>
      <w:r>
        <w:t xml:space="preserve"> </w:t>
      </w:r>
      <w:r>
        <w:rPr>
          <w:i/>
        </w:rPr>
        <w:t xml:space="preserve">Separation and Purification Technology</w:t>
      </w:r>
      <w:r>
        <w:t xml:space="preserve"> </w:t>
      </w:r>
      <w:r>
        <w:rPr>
          <w:b/>
        </w:rPr>
        <w:t xml:space="preserve">118</w:t>
      </w:r>
      <w:r>
        <w:t xml:space="preserve">, 612–619 (2013).</w:t>
      </w:r>
    </w:p>
    <w:p>
      <w:pPr>
        <w:pStyle w:val="BodyText"/>
      </w:pPr>
      <w:r>
        <w:t xml:space="preserve">5.Paria, S.</w:t>
      </w:r>
      <w:r>
        <w:t xml:space="preserve"> </w:t>
      </w:r>
      <w:r>
        <w:t xml:space="preserve">Surfactant-enhanced remediation of organic contaminated soil and water</w:t>
      </w:r>
      <w:r>
        <w:t xml:space="preserve">.</w:t>
      </w:r>
      <w:r>
        <w:t xml:space="preserve"> </w:t>
      </w:r>
      <w:r>
        <w:rPr>
          <w:i/>
        </w:rPr>
        <w:t xml:space="preserve">Advances in Colloid and Interface Science</w:t>
      </w:r>
      <w:r>
        <w:t xml:space="preserve"> </w:t>
      </w:r>
      <w:r>
        <w:rPr>
          <w:b/>
        </w:rPr>
        <w:t xml:space="preserve">138</w:t>
      </w:r>
      <w:r>
        <w:t xml:space="preserve">, 24–58 (2008).</w:t>
      </w:r>
    </w:p>
    <w:p>
      <w:pPr>
        <w:pStyle w:val="BodyText"/>
      </w:pPr>
      <w:r>
        <w:t xml:space="preserve">6.Svab, M., Kubal, M., Müllerova, M. &amp; Raschman, R.</w:t>
      </w:r>
      <w:r>
        <w:t xml:space="preserve"> </w:t>
      </w:r>
      <w:r>
        <w:t xml:space="preserve">Soil flushing by surfactant solution: Pilot-scale demonstration of complete technology</w:t>
      </w:r>
      <w:r>
        <w:t xml:space="preserve">.</w:t>
      </w:r>
      <w:r>
        <w:t xml:space="preserve"> </w:t>
      </w:r>
      <w:r>
        <w:rPr>
          <w:i/>
        </w:rPr>
        <w:t xml:space="preserve">Journal of Hazardous Materials</w:t>
      </w:r>
      <w:r>
        <w:t xml:space="preserve"> </w:t>
      </w:r>
      <w:r>
        <w:rPr>
          <w:b/>
        </w:rPr>
        <w:t xml:space="preserve">163</w:t>
      </w:r>
      <w:r>
        <w:t xml:space="preserve">, 410–417 (2009).</w:t>
      </w:r>
    </w:p>
    <w:p>
      <w:pPr>
        <w:pStyle w:val="BodyText"/>
      </w:pPr>
      <w:r>
        <w:t xml:space="preserve">7.Atteia, O., Estrada, E. D. C. &amp; Bertin, H.</w:t>
      </w:r>
      <w:r>
        <w:t xml:space="preserve"> </w:t>
      </w:r>
      <w:r>
        <w:t xml:space="preserve">Soil flushing: a review of the origin of efficiency variability</w:t>
      </w:r>
      <w:r>
        <w:t xml:space="preserve">.</w:t>
      </w:r>
      <w:r>
        <w:t xml:space="preserve"> </w:t>
      </w:r>
      <w:r>
        <w:rPr>
          <w:i/>
        </w:rPr>
        <w:t xml:space="preserve">Reviews in Environmental Science and Bio/Technology</w:t>
      </w:r>
      <w:r>
        <w:t xml:space="preserve"> </w:t>
      </w:r>
      <w:r>
        <w:rPr>
          <w:b/>
        </w:rPr>
        <w:t xml:space="preserve">12</w:t>
      </w:r>
      <w:r>
        <w:t xml:space="preserve">, 379–389 (2013).</w:t>
      </w:r>
    </w:p>
    <w:p>
      <w:pPr>
        <w:pStyle w:val="BodyText"/>
      </w:pPr>
      <w:r>
        <w:t xml:space="preserve">8.Brusseau, M.</w:t>
      </w:r>
      <w:r>
        <w:t xml:space="preserve"> </w:t>
      </w:r>
      <w:r>
        <w:rPr>
          <w:i/>
        </w:rPr>
        <w:t xml:space="preserve">The Impact of DNAPL Source-Zone Architecture on Contaminant Mass Flux and Plume Evolution in Heterogeneous Porous Media</w:t>
      </w:r>
      <w:r>
        <w:t xml:space="preserve">.</w:t>
      </w:r>
      <w:r>
        <w:t xml:space="preserve"> </w:t>
      </w:r>
      <w:hyperlink r:id="rId27">
        <w:r>
          <w:rPr>
            <w:rStyle w:val="Hyperlink"/>
          </w:rPr>
          <w:t xml:space="preserve">https://apps.dtic.mil/docs/citations/ADA606932</w:t>
        </w:r>
      </w:hyperlink>
      <w:r>
        <w:t xml:space="preserve"> </w:t>
      </w:r>
      <w:r>
        <w:t xml:space="preserve">(2013).</w:t>
      </w:r>
    </w:p>
    <w:p>
      <w:pPr>
        <w:pStyle w:val="BodyText"/>
      </w:pPr>
      <w:r>
        <w:t xml:space="preserve">9.Santos, A.</w:t>
      </w:r>
      <w:r>
        <w:t xml:space="preserve"> </w:t>
      </w:r>
      <w:r>
        <w:rPr>
          <w:i/>
        </w:rPr>
        <w:t xml:space="preserve">et al.</w:t>
      </w:r>
      <w:r>
        <w:t xml:space="preserve">.</w:t>
      </w:r>
      <w:r>
        <w:t xml:space="preserve"> </w:t>
      </w:r>
      <w:r>
        <w:t xml:space="preserve">Soil flushing pilot test in a landfill polluted with liquid organic wastes from lindane production</w:t>
      </w:r>
      <w:r>
        <w:t xml:space="preserve">.</w:t>
      </w:r>
      <w:r>
        <w:t xml:space="preserve"> </w:t>
      </w:r>
      <w:r>
        <w:rPr>
          <w:i/>
        </w:rPr>
        <w:t xml:space="preserve">Heliyon</w:t>
      </w:r>
      <w:r>
        <w:t xml:space="preserve"> </w:t>
      </w:r>
      <w:r>
        <w:rPr>
          <w:b/>
        </w:rPr>
        <w:t xml:space="preserve">5</w:t>
      </w:r>
      <w:r>
        <w:t xml:space="preserve">, e02875 (2019).</w:t>
      </w:r>
    </w:p>
    <w:p>
      <w:pPr>
        <w:pStyle w:val="BodyText"/>
      </w:pPr>
      <w:r>
        <w:t xml:space="preserve">10.Besha, A., Bekele, D., Naidu, R. &amp; Chadalavada, S.</w:t>
      </w:r>
      <w:r>
        <w:t xml:space="preserve"> </w:t>
      </w:r>
      <w:r>
        <w:t xml:space="preserve">Recent advances in surfactant-enhanced In-Situ Chemical Oxidation for the remediation of non-aqueous phase liquid contaminated soils and aquifers</w:t>
      </w:r>
      <w:r>
        <w:t xml:space="preserve">.</w:t>
      </w:r>
      <w:r>
        <w:t xml:space="preserve"> </w:t>
      </w:r>
      <w:r>
        <w:rPr>
          <w:i/>
        </w:rPr>
        <w:t xml:space="preserve">Environmental Technology</w:t>
      </w:r>
      <w:r>
        <w:rPr>
          <w:i/>
        </w:rPr>
        <w:t xml:space="preserve"> </w:t>
      </w:r>
      <w:r>
        <w:rPr>
          <w:i/>
        </w:rPr>
        <w:t xml:space="preserve">&amp;</w:t>
      </w:r>
      <w:r>
        <w:rPr>
          <w:i/>
        </w:rPr>
        <w:t xml:space="preserve"> </w:t>
      </w:r>
      <w:r>
        <w:rPr>
          <w:i/>
        </w:rPr>
        <w:t xml:space="preserve">Innovation</w:t>
      </w:r>
      <w:r>
        <w:t xml:space="preserve"> </w:t>
      </w:r>
      <w:r>
        <w:rPr>
          <w:b/>
        </w:rPr>
        <w:t xml:space="preserve">9</w:t>
      </w:r>
      <w:r>
        <w:t xml:space="preserve">, 303–322 (2018).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e24c1bce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2" Target="media/rId22.png" /><Relationship Type="http://schemas.openxmlformats.org/officeDocument/2006/relationships/image" Id="rId23" Target="media/rId23.png" /><Relationship Type="http://schemas.openxmlformats.org/officeDocument/2006/relationships/hyperlink" Id="rId27" Target="https://apps.dtic.mil/docs/citations/ADA606932" TargetMode="External" /></Relationships>
</file>

<file path=word/_rels/footnotes.xml.rels><?xml version="1.0" encoding="UTF-8"?>
<Relationships xmlns="http://schemas.openxmlformats.org/package/2006/relationships"><Relationship Type="http://schemas.openxmlformats.org/officeDocument/2006/relationships/hyperlink" Id="rId27" Target="https://apps.dtic.mil/docs/citations/ADA606932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Soil flushing per la bonifica dei siti contaminati: applicazioni e criticità</dc:title>
  <dc:creator>Manuele Naddeo</dc:creator>
  <dcterms:created xsi:type="dcterms:W3CDTF">2020-06-30T15:04:04Z</dcterms:created>
  <dcterms:modified xsi:type="dcterms:W3CDTF">2020-06-30T15:04:04Z</dcterms:modified>
</cp:coreProperties>
</file>