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2.png" ContentType="image/png"/>
  <Override PartName="/word/media/rId25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Valutazione</w:t>
      </w:r>
      <w:r>
        <w:t xml:space="preserve"> </w:t>
      </w:r>
      <w:r>
        <w:t xml:space="preserve">dell’impatto</w:t>
      </w:r>
      <w:r>
        <w:t xml:space="preserve"> </w:t>
      </w:r>
      <w:r>
        <w:t xml:space="preserve">da</w:t>
      </w:r>
      <w:r>
        <w:t xml:space="preserve"> </w:t>
      </w:r>
      <w:r>
        <w:t xml:space="preserve">odori</w:t>
      </w:r>
      <w:r>
        <w:t xml:space="preserve"> </w:t>
      </w:r>
      <w:r>
        <w:t xml:space="preserve">negli</w:t>
      </w:r>
      <w:r>
        <w:t xml:space="preserve"> </w:t>
      </w:r>
      <w:r>
        <w:t xml:space="preserve">impianti</w:t>
      </w:r>
      <w:r>
        <w:t xml:space="preserve"> </w:t>
      </w:r>
      <w:r>
        <w:t xml:space="preserve">di</w:t>
      </w:r>
      <w:r>
        <w:t xml:space="preserve"> </w:t>
      </w:r>
      <w:r>
        <w:t xml:space="preserve">trattamento</w:t>
      </w:r>
      <w:r>
        <w:t xml:space="preserve"> </w:t>
      </w:r>
      <w:r>
        <w:t xml:space="preserve">dei</w:t>
      </w:r>
      <w:r>
        <w:t xml:space="preserve"> </w:t>
      </w:r>
      <w:r>
        <w:t xml:space="preserve">rifiuti</w:t>
      </w:r>
      <w:r>
        <w:t xml:space="preserve"> </w:t>
      </w:r>
      <w:r>
        <w:t xml:space="preserve">solidi</w:t>
      </w:r>
      <w:r>
        <w:t xml:space="preserve"> </w:t>
      </w:r>
      <w:r>
        <w:t xml:space="preserve">urbani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  <w:r>
        <w:t xml:space="preserve"> </w:t>
      </w:r>
      <w:r>
        <w:t xml:space="preserve">  </w:t>
      </w:r>
    </w:p>
    <w:p>
      <w:pPr>
        <w:pStyle w:val="Author"/>
      </w:pPr>
      <w:r>
        <w:t xml:space="preserve">Massimo</w:t>
      </w:r>
      <w:r>
        <w:t xml:space="preserve"> </w:t>
      </w:r>
      <w:r>
        <w:t xml:space="preserve">Noschese</w:t>
      </w:r>
    </w:p>
    <w:p>
      <w:pPr>
        <w:pStyle w:val="Abstract"/>
      </w:pPr>
      <w:r>
        <w:t xml:space="preserve">La</w:t>
      </w:r>
      <w:r>
        <w:t xml:space="preserve"> </w:t>
      </w:r>
      <w:r>
        <w:t xml:space="preserve">valutazione</w:t>
      </w:r>
      <w:r>
        <w:t xml:space="preserve"> </w:t>
      </w:r>
      <w:r>
        <w:t xml:space="preserve">delle</w:t>
      </w:r>
      <w:r>
        <w:t xml:space="preserve"> </w:t>
      </w:r>
      <w:r>
        <w:t xml:space="preserve">emissioni</w:t>
      </w:r>
      <w:r>
        <w:t xml:space="preserve"> </w:t>
      </w:r>
      <w:r>
        <w:t xml:space="preserve">odorigene</w:t>
      </w:r>
      <w:r>
        <w:t xml:space="preserve"> </w:t>
      </w:r>
      <w:r>
        <w:t xml:space="preserve">e</w:t>
      </w:r>
      <w:r>
        <w:t xml:space="preserve"> </w:t>
      </w:r>
      <w:r>
        <w:t xml:space="preserve">dei</w:t>
      </w:r>
      <w:r>
        <w:t xml:space="preserve"> </w:t>
      </w:r>
      <w:r>
        <w:t xml:space="preserve">relativi</w:t>
      </w:r>
      <w:r>
        <w:t xml:space="preserve"> </w:t>
      </w:r>
      <w:r>
        <w:t xml:space="preserve">impatti</w:t>
      </w:r>
      <w:r>
        <w:t xml:space="preserve"> </w:t>
      </w:r>
      <w:r>
        <w:t xml:space="preserve">viene</w:t>
      </w:r>
      <w:r>
        <w:t xml:space="preserve"> </w:t>
      </w:r>
      <w:r>
        <w:t xml:space="preserve">effettuata</w:t>
      </w:r>
      <w:r>
        <w:t xml:space="preserve"> </w:t>
      </w:r>
      <w:r>
        <w:t xml:space="preserve">utilizzando</w:t>
      </w:r>
      <w:r>
        <w:t xml:space="preserve"> </w:t>
      </w:r>
      <w:r>
        <w:t xml:space="preserve">i</w:t>
      </w:r>
      <w:r>
        <w:t xml:space="preserve"> </w:t>
      </w:r>
      <w:r>
        <w:t xml:space="preserve">fattori</w:t>
      </w:r>
      <w:r>
        <w:t xml:space="preserve"> </w:t>
      </w:r>
      <w:r>
        <w:t xml:space="preserve">di</w:t>
      </w:r>
      <w:r>
        <w:t xml:space="preserve"> </w:t>
      </w:r>
      <w:r>
        <w:t xml:space="preserve">emissioni</w:t>
      </w:r>
      <w:r>
        <w:t xml:space="preserve"> </w:t>
      </w:r>
      <w:r>
        <w:t xml:space="preserve">di</w:t>
      </w:r>
      <w:r>
        <w:t xml:space="preserve"> </w:t>
      </w:r>
      <w:r>
        <w:t xml:space="preserve">odori</w:t>
      </w:r>
      <w:r>
        <w:t xml:space="preserve"> </w:t>
      </w:r>
      <w:r>
        <w:t xml:space="preserve">(OEF),</w:t>
      </w:r>
      <w:r>
        <w:t xml:space="preserve"> </w:t>
      </w:r>
      <w:r>
        <w:t xml:space="preserve">cosi</w:t>
      </w:r>
      <w:r>
        <w:t xml:space="preserve"> </w:t>
      </w:r>
      <w:r>
        <w:t xml:space="preserve">come</w:t>
      </w:r>
      <w:r>
        <w:t xml:space="preserve"> </w:t>
      </w:r>
      <w:r>
        <w:t xml:space="preserve">riportato</w:t>
      </w:r>
      <w:r>
        <w:t xml:space="preserve"> </w:t>
      </w:r>
      <w:r>
        <w:t xml:space="preserve">in</w:t>
      </w:r>
      <w:r>
        <w:t xml:space="preserve"> </w:t>
      </w:r>
      <w:r>
        <w:t xml:space="preserve">numerosi</w:t>
      </w:r>
      <w:r>
        <w:t xml:space="preserve"> </w:t>
      </w:r>
      <w:r>
        <w:t xml:space="preserve">studi</w:t>
      </w:r>
      <w:r>
        <w:t xml:space="preserve"> </w:t>
      </w:r>
      <w:r>
        <w:t xml:space="preserve">scientifici,</w:t>
      </w:r>
      <w:r>
        <w:t xml:space="preserve"> </w:t>
      </w:r>
      <w:r>
        <w:t xml:space="preserve">che</w:t>
      </w:r>
      <w:r>
        <w:t xml:space="preserve"> </w:t>
      </w:r>
      <w:r>
        <w:t xml:space="preserve">tengono</w:t>
      </w:r>
      <w:r>
        <w:t xml:space="preserve"> </w:t>
      </w:r>
      <w:r>
        <w:t xml:space="preserve">conto</w:t>
      </w:r>
      <w:r>
        <w:t xml:space="preserve"> </w:t>
      </w:r>
      <w:r>
        <w:t xml:space="preserve">solo</w:t>
      </w:r>
      <w:r>
        <w:t xml:space="preserve"> </w:t>
      </w:r>
      <w:r>
        <w:t xml:space="preserve">della</w:t>
      </w:r>
      <w:r>
        <w:t xml:space="preserve"> </w:t>
      </w:r>
      <w:r>
        <w:t xml:space="preserve">capacità</w:t>
      </w:r>
      <w:r>
        <w:t xml:space="preserve"> </w:t>
      </w:r>
      <w:r>
        <w:t xml:space="preserve">dell’impianto</w:t>
      </w:r>
      <w:r>
        <w:t xml:space="preserve"> </w:t>
      </w:r>
      <w:r>
        <w:t xml:space="preserve">per</w:t>
      </w:r>
      <w:r>
        <w:t xml:space="preserve"> </w:t>
      </w:r>
      <w:r>
        <w:t xml:space="preserve">la</w:t>
      </w:r>
      <w:r>
        <w:t xml:space="preserve"> </w:t>
      </w:r>
      <w:r>
        <w:t xml:space="preserve">quantificazione</w:t>
      </w:r>
      <w:r>
        <w:t xml:space="preserve"> </w:t>
      </w:r>
      <w:r>
        <w:t xml:space="preserve">dell’indice</w:t>
      </w:r>
      <w:r>
        <w:t xml:space="preserve"> </w:t>
      </w:r>
      <w:r>
        <w:t xml:space="preserve">di</w:t>
      </w:r>
      <w:r>
        <w:t xml:space="preserve"> </w:t>
      </w:r>
      <w:r>
        <w:t xml:space="preserve">attività.</w:t>
      </w:r>
    </w:p>
    <w:p>
      <w:pPr>
        <w:pStyle w:val="Abstract"/>
      </w:pPr>
      <w:r>
        <w:t xml:space="preserve">Le</w:t>
      </w:r>
      <w:r>
        <w:t xml:space="preserve"> </w:t>
      </w:r>
      <w:r>
        <w:t xml:space="preserve">attività</w:t>
      </w:r>
      <w:r>
        <w:t xml:space="preserve"> </w:t>
      </w:r>
      <w:r>
        <w:t xml:space="preserve">di</w:t>
      </w:r>
      <w:r>
        <w:t xml:space="preserve"> </w:t>
      </w:r>
      <w:r>
        <w:t xml:space="preserve">ricerca,</w:t>
      </w:r>
      <w:r>
        <w:t xml:space="preserve"> </w:t>
      </w:r>
      <w:r>
        <w:t xml:space="preserve">presenti</w:t>
      </w:r>
      <w:r>
        <w:t xml:space="preserve"> </w:t>
      </w:r>
      <w:r>
        <w:t xml:space="preserve">in</w:t>
      </w:r>
      <w:r>
        <w:t xml:space="preserve"> </w:t>
      </w:r>
      <w:r>
        <w:t xml:space="preserve">questo</w:t>
      </w:r>
      <w:r>
        <w:t xml:space="preserve"> </w:t>
      </w:r>
      <w:r>
        <w:t xml:space="preserve">studio,</w:t>
      </w:r>
      <w:r>
        <w:t xml:space="preserve"> </w:t>
      </w:r>
      <w:r>
        <w:t xml:space="preserve">sono</w:t>
      </w:r>
      <w:r>
        <w:t xml:space="preserve"> </w:t>
      </w:r>
      <w:r>
        <w:t xml:space="preserve">state</w:t>
      </w:r>
      <w:r>
        <w:t xml:space="preserve"> </w:t>
      </w:r>
      <w:r>
        <w:t xml:space="preserve">improntate</w:t>
      </w:r>
      <w:r>
        <w:t xml:space="preserve"> </w:t>
      </w:r>
      <w:r>
        <w:t xml:space="preserve">all’individuazione</w:t>
      </w:r>
      <w:r>
        <w:t xml:space="preserve"> </w:t>
      </w:r>
      <w:r>
        <w:t xml:space="preserve">delle</w:t>
      </w:r>
      <w:r>
        <w:t xml:space="preserve"> </w:t>
      </w:r>
      <w:r>
        <w:t xml:space="preserve">principali</w:t>
      </w:r>
      <w:r>
        <w:t xml:space="preserve"> </w:t>
      </w:r>
      <w:r>
        <w:t xml:space="preserve">fonti</w:t>
      </w:r>
      <w:r>
        <w:t xml:space="preserve"> </w:t>
      </w:r>
      <w:r>
        <w:t xml:space="preserve">di</w:t>
      </w:r>
      <w:r>
        <w:t xml:space="preserve"> </w:t>
      </w:r>
      <w:r>
        <w:t xml:space="preserve">odori</w:t>
      </w:r>
      <w:r>
        <w:t xml:space="preserve"> </w:t>
      </w:r>
      <w:r>
        <w:t xml:space="preserve">e</w:t>
      </w:r>
      <w:r>
        <w:t xml:space="preserve"> </w:t>
      </w:r>
      <w:r>
        <w:t xml:space="preserve">le</w:t>
      </w:r>
      <w:r>
        <w:t xml:space="preserve"> </w:t>
      </w:r>
      <w:r>
        <w:t xml:space="preserve">loro</w:t>
      </w:r>
      <w:r>
        <w:t xml:space="preserve"> </w:t>
      </w:r>
      <w:r>
        <w:t xml:space="preserve">relative</w:t>
      </w:r>
      <w:r>
        <w:t xml:space="preserve"> </w:t>
      </w:r>
      <w:r>
        <w:t xml:space="preserve">concentrazioni</w:t>
      </w:r>
      <w:r>
        <w:t xml:space="preserve"> </w:t>
      </w:r>
      <w:r>
        <w:t xml:space="preserve">ed</w:t>
      </w:r>
      <w:r>
        <w:t xml:space="preserve"> </w:t>
      </w:r>
      <w:r>
        <w:t xml:space="preserve">emissioni</w:t>
      </w:r>
      <w:r>
        <w:t xml:space="preserve"> </w:t>
      </w:r>
      <w:r>
        <w:t xml:space="preserve">provenienti</w:t>
      </w:r>
      <w:r>
        <w:t xml:space="preserve"> </w:t>
      </w:r>
      <w:r>
        <w:t xml:space="preserve">da</w:t>
      </w:r>
      <w:r>
        <w:t xml:space="preserve"> </w:t>
      </w:r>
      <w:r>
        <w:t xml:space="preserve">un</w:t>
      </w:r>
      <w:r>
        <w:t xml:space="preserve"> </w:t>
      </w:r>
      <w:r>
        <w:t xml:space="preserve">grande</w:t>
      </w:r>
      <w:r>
        <w:t xml:space="preserve"> </w:t>
      </w:r>
      <w:r>
        <w:t xml:space="preserve">Impianto</w:t>
      </w:r>
      <w:r>
        <w:t xml:space="preserve"> </w:t>
      </w:r>
      <w:r>
        <w:t xml:space="preserve">di</w:t>
      </w:r>
      <w:r>
        <w:t xml:space="preserve"> </w:t>
      </w:r>
      <w:r>
        <w:t xml:space="preserve">Trattamento</w:t>
      </w:r>
      <w:r>
        <w:t xml:space="preserve"> </w:t>
      </w:r>
      <w:r>
        <w:t xml:space="preserve">Integrato</w:t>
      </w:r>
      <w:r>
        <w:t xml:space="preserve"> </w:t>
      </w:r>
      <w:r>
        <w:t xml:space="preserve">Anaerobico-Aerobico.</w:t>
      </w:r>
      <w:r>
        <w:t xml:space="preserve"> </w:t>
      </w:r>
      <w:r>
        <w:t xml:space="preserve">Tali</w:t>
      </w:r>
      <w:r>
        <w:t xml:space="preserve"> </w:t>
      </w:r>
      <w:r>
        <w:t xml:space="preserve">fonti</w:t>
      </w:r>
      <w:r>
        <w:t xml:space="preserve"> </w:t>
      </w:r>
      <w:r>
        <w:t xml:space="preserve">di</w:t>
      </w:r>
      <w:r>
        <w:t xml:space="preserve"> </w:t>
      </w:r>
      <w:r>
        <w:t xml:space="preserve">odori</w:t>
      </w:r>
      <w:r>
        <w:t xml:space="preserve"> </w:t>
      </w:r>
      <w:r>
        <w:t xml:space="preserve">sono</w:t>
      </w:r>
      <w:r>
        <w:t xml:space="preserve"> </w:t>
      </w:r>
      <w:r>
        <w:t xml:space="preserve">state</w:t>
      </w:r>
      <w:r>
        <w:t xml:space="preserve"> </w:t>
      </w:r>
      <w:r>
        <w:t xml:space="preserve">valutate</w:t>
      </w:r>
      <w:r>
        <w:t xml:space="preserve"> </w:t>
      </w:r>
      <w:r>
        <w:t xml:space="preserve">attraverso</w:t>
      </w:r>
      <w:r>
        <w:t xml:space="preserve"> </w:t>
      </w:r>
      <w:r>
        <w:t xml:space="preserve">l’ofattometria</w:t>
      </w:r>
      <w:r>
        <w:t xml:space="preserve"> </w:t>
      </w:r>
      <w:r>
        <w:t xml:space="preserve">dinamica.</w:t>
      </w:r>
    </w:p>
    <w:p>
      <w:pPr>
        <w:pStyle w:val="Abstract"/>
      </w:pPr>
      <w:r>
        <w:t xml:space="preserve">Gli</w:t>
      </w:r>
      <w:r>
        <w:t xml:space="preserve"> </w:t>
      </w:r>
      <w:r>
        <w:t xml:space="preserve">OEF</w:t>
      </w:r>
      <w:r>
        <w:t xml:space="preserve"> </w:t>
      </w:r>
      <w:r>
        <w:t xml:space="preserve">rilevanti</w:t>
      </w:r>
      <w:r>
        <w:t xml:space="preserve"> </w:t>
      </w:r>
      <w:r>
        <w:t xml:space="preserve">sono</w:t>
      </w:r>
      <w:r>
        <w:t xml:space="preserve"> </w:t>
      </w:r>
      <w:r>
        <w:t xml:space="preserve">stati</w:t>
      </w:r>
      <w:r>
        <w:t xml:space="preserve"> </w:t>
      </w:r>
      <w:r>
        <w:t xml:space="preserve">stimati</w:t>
      </w:r>
      <w:r>
        <w:t xml:space="preserve"> </w:t>
      </w:r>
      <w:r>
        <w:t xml:space="preserve">utilizzando</w:t>
      </w:r>
      <w:r>
        <w:t xml:space="preserve"> </w:t>
      </w:r>
      <w:r>
        <w:t xml:space="preserve">un</w:t>
      </w:r>
      <w:r>
        <w:t xml:space="preserve"> </w:t>
      </w:r>
      <w:r>
        <w:t xml:space="preserve">set</w:t>
      </w:r>
      <w:r>
        <w:t xml:space="preserve"> </w:t>
      </w:r>
      <w:r>
        <w:t xml:space="preserve">di</w:t>
      </w:r>
      <w:r>
        <w:t xml:space="preserve"> </w:t>
      </w:r>
      <w:r>
        <w:t xml:space="preserve">dati</w:t>
      </w:r>
      <w:r>
        <w:t xml:space="preserve"> </w:t>
      </w:r>
      <w:r>
        <w:t xml:space="preserve">sperimentali</w:t>
      </w:r>
      <w:r>
        <w:t xml:space="preserve"> </w:t>
      </w:r>
      <w:r>
        <w:t xml:space="preserve">e</w:t>
      </w:r>
      <w:r>
        <w:t xml:space="preserve"> </w:t>
      </w:r>
      <w:r>
        <w:t xml:space="preserve">confrontati</w:t>
      </w:r>
      <w:r>
        <w:t xml:space="preserve"> </w:t>
      </w:r>
      <w:r>
        <w:t xml:space="preserve">con</w:t>
      </w:r>
      <w:r>
        <w:t xml:space="preserve"> </w:t>
      </w:r>
      <w:r>
        <w:t xml:space="preserve">quelli</w:t>
      </w:r>
      <w:r>
        <w:t xml:space="preserve"> </w:t>
      </w:r>
      <w:r>
        <w:t xml:space="preserve">teorici</w:t>
      </w:r>
      <w:r>
        <w:t xml:space="preserve"> </w:t>
      </w:r>
      <w:r>
        <w:t xml:space="preserve">proposti</w:t>
      </w:r>
      <w:r>
        <w:t xml:space="preserve"> </w:t>
      </w:r>
      <w:r>
        <w:t xml:space="preserve">negli</w:t>
      </w:r>
      <w:r>
        <w:t xml:space="preserve"> </w:t>
      </w:r>
      <w:r>
        <w:t xml:space="preserve">studi</w:t>
      </w:r>
      <w:r>
        <w:t xml:space="preserve"> </w:t>
      </w:r>
      <w:r>
        <w:t xml:space="preserve">di</w:t>
      </w:r>
      <w:r>
        <w:t xml:space="preserve"> </w:t>
      </w:r>
      <w:r>
        <w:t xml:space="preserve">letteratura</w:t>
      </w:r>
      <w:r>
        <w:t xml:space="preserve"> </w:t>
      </w:r>
      <w:r>
        <w:t xml:space="preserve">su</w:t>
      </w:r>
      <w:r>
        <w:t xml:space="preserve"> </w:t>
      </w:r>
      <w:r>
        <w:t xml:space="preserve">impianti</w:t>
      </w:r>
      <w:r>
        <w:t xml:space="preserve"> </w:t>
      </w:r>
      <w:r>
        <w:t xml:space="preserve">di</w:t>
      </w:r>
      <w:r>
        <w:t xml:space="preserve"> </w:t>
      </w:r>
      <w:r>
        <w:t xml:space="preserve">trattamento</w:t>
      </w:r>
      <w:r>
        <w:t xml:space="preserve"> </w:t>
      </w:r>
      <w:r>
        <w:t xml:space="preserve">simili.</w:t>
      </w:r>
    </w:p>
    <w:p>
      <w:pPr>
        <w:pStyle w:val="Abstract"/>
      </w:pPr>
      <w:r>
        <w:t xml:space="preserve">I</w:t>
      </w:r>
      <w:r>
        <w:t xml:space="preserve"> </w:t>
      </w:r>
      <w:r>
        <w:t xml:space="preserve">risultati</w:t>
      </w:r>
      <w:r>
        <w:t xml:space="preserve"> </w:t>
      </w:r>
      <w:r>
        <w:t xml:space="preserve">hanno</w:t>
      </w:r>
      <w:r>
        <w:t xml:space="preserve"> </w:t>
      </w:r>
      <w:r>
        <w:t xml:space="preserve">mostrato</w:t>
      </w:r>
      <w:r>
        <w:t xml:space="preserve"> </w:t>
      </w:r>
      <w:r>
        <w:t xml:space="preserve">come</w:t>
      </w:r>
      <w:r>
        <w:t xml:space="preserve"> </w:t>
      </w:r>
      <w:r>
        <w:t xml:space="preserve">le</w:t>
      </w:r>
      <w:r>
        <w:t xml:space="preserve"> </w:t>
      </w:r>
      <w:r>
        <w:t xml:space="preserve">principali</w:t>
      </w:r>
      <w:r>
        <w:t xml:space="preserve"> </w:t>
      </w:r>
      <w:r>
        <w:t xml:space="preserve">emissioni</w:t>
      </w:r>
      <w:r>
        <w:t xml:space="preserve"> </w:t>
      </w:r>
      <w:r>
        <w:t xml:space="preserve">di</w:t>
      </w:r>
      <w:r>
        <w:t xml:space="preserve"> </w:t>
      </w:r>
      <w:r>
        <w:t xml:space="preserve">odori</w:t>
      </w:r>
      <w:r>
        <w:t xml:space="preserve"> </w:t>
      </w:r>
      <w:r>
        <w:t xml:space="preserve">sono</w:t>
      </w:r>
      <w:r>
        <w:t xml:space="preserve"> </w:t>
      </w:r>
      <w:r>
        <w:t xml:space="preserve">associate</w:t>
      </w:r>
      <w:r>
        <w:t xml:space="preserve"> </w:t>
      </w:r>
      <w:r>
        <w:t xml:space="preserve">al</w:t>
      </w:r>
      <w:r>
        <w:t xml:space="preserve"> </w:t>
      </w:r>
      <w:r>
        <w:t xml:space="preserve">processo</w:t>
      </w:r>
      <w:r>
        <w:t xml:space="preserve"> </w:t>
      </w:r>
      <w:r>
        <w:t xml:space="preserve">di</w:t>
      </w:r>
      <w:r>
        <w:t xml:space="preserve"> </w:t>
      </w:r>
      <w:r>
        <w:t xml:space="preserve">compostaggio.</w:t>
      </w:r>
    </w:p>
    <w:p>
      <w:pPr>
        <w:pStyle w:val="Heading1"/>
      </w:pPr>
      <w:bookmarkStart w:id="21" w:name="introduzione"/>
      <w:bookmarkEnd w:id="21"/>
      <w:r>
        <w:t xml:space="preserve">Introduzione</w:t>
      </w:r>
    </w:p>
    <w:p>
      <w:pPr>
        <w:pStyle w:val="FirstParagraph"/>
      </w:pPr>
      <w:r>
        <w:t xml:space="preserve">All’interno del sistema integrato di gestione dei rifiuti da raccolta</w:t>
      </w:r>
      <w:r>
        <w:t xml:space="preserve"> </w:t>
      </w:r>
      <w:r>
        <w:t xml:space="preserve">differenziata si adottano misure ed azioni intese ad ottenere un</w:t>
      </w:r>
      <w:r>
        <w:t xml:space="preserve"> </w:t>
      </w:r>
      <w:r>
        <w:t xml:space="preserve">recupero di materia e di energia. Questi trattamenti vengono effettuati</w:t>
      </w:r>
      <w:r>
        <w:t xml:space="preserve"> </w:t>
      </w:r>
      <w:r>
        <w:t xml:space="preserve">in impianti che combinano trattamenti anaerobico</w:t>
      </w:r>
      <w:r>
        <w:t xml:space="preserve"> </w:t>
      </w:r>
      <w:r>
        <w:t xml:space="preserve">(digestione) </w:t>
      </w:r>
      <w:r>
        <w:rPr>
          <w:vertAlign w:val="superscript"/>
        </w:rPr>
        <w:t xml:space="preserve">1</w:t>
      </w:r>
      <w:r>
        <w:t xml:space="preserve"> </w:t>
      </w:r>
      <w:r>
        <w:t xml:space="preserve">con recupero di energia e trattamenti</w:t>
      </w:r>
      <w:r>
        <w:t xml:space="preserve"> </w:t>
      </w:r>
      <w:r>
        <w:t xml:space="preserve">aerobici (compostaggio)</w:t>
      </w:r>
      <w:r>
        <w:rPr>
          <w:vertAlign w:val="superscript"/>
        </w:rPr>
        <w:t xml:space="preserve">2</w:t>
      </w:r>
      <w:r>
        <w:t xml:space="preserve"> </w:t>
      </w:r>
      <w:r>
        <w:t xml:space="preserve">con recupero di materia.</w:t>
      </w:r>
      <w:r>
        <w:t xml:space="preserve"> </w:t>
      </w:r>
      <w:r>
        <w:t xml:space="preserve">Secondo i dati del ISPRA (Istituto superiore per la protezione e la</w:t>
      </w:r>
      <w:r>
        <w:t xml:space="preserve"> </w:t>
      </w:r>
      <w:r>
        <w:t xml:space="preserve">ricerca ambientale) in Italia questi impianti integrati sono aumentati</w:t>
      </w:r>
      <w:r>
        <w:t xml:space="preserve"> </w:t>
      </w:r>
      <w:r>
        <w:t xml:space="preserve">in modo significativo negli ultimi anni.</w:t>
      </w:r>
    </w:p>
    <w:p>
      <w:pPr>
        <w:pStyle w:val="BodyText"/>
      </w:pPr>
      <w:r>
        <w:t xml:space="preserve">I potenziali impatti ambientali di questi impianti integrati</w:t>
      </w:r>
      <w:r>
        <w:t xml:space="preserve"> </w:t>
      </w:r>
      <w:r>
        <w:t xml:space="preserve">anaerobici-aerobici (AATP) sono generalmente gli</w:t>
      </w:r>
      <w:r>
        <w:t xml:space="preserve"> </w:t>
      </w:r>
      <w:r>
        <w:t xml:space="preserve">odori </w:t>
      </w:r>
      <w:r>
        <w:rPr>
          <w:vertAlign w:val="superscript"/>
        </w:rPr>
        <w:t xml:space="preserve">3</w:t>
      </w:r>
      <w:r>
        <w:t xml:space="preserve">, </w:t>
      </w:r>
      <w:r>
        <w:rPr>
          <w:vertAlign w:val="superscript"/>
        </w:rPr>
        <w:t xml:space="preserve">4</w:t>
      </w:r>
      <w:r>
        <w:t xml:space="preserve">. Gli odori sono un disturbo</w:t>
      </w:r>
      <w:r>
        <w:t xml:space="preserve"> </w:t>
      </w:r>
      <w:r>
        <w:t xml:space="preserve">per la popolazione che abita nelle vicinanze della struttura.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4177492" cy="3134648"/>
            <wp:effectExtent b="0" l="0" r="0" t="0"/>
            <wp:docPr descr="Impianto di trattamento aree esauste " title="" id="1" name="Picture"/>
            <a:graphic>
              <a:graphicData uri="http://schemas.openxmlformats.org/drawingml/2006/picture">
                <pic:pic>
                  <pic:nvPicPr>
                    <pic:cNvPr descr="figures/IMG-20181121-113228/IMG-20181121-1132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31346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Impianto di trattamento aree esauste</w:t>
      </w:r>
      <w:r>
        <w:t xml:space="preserve"> </w:t>
      </w:r>
    </w:p>
    <w:p>
      <w:pPr>
        <w:pStyle w:val="BodyText"/>
      </w:pPr>
      <w:r>
        <w:br w:type="textWrapping"/>
      </w:r>
      <w:r>
        <w:t xml:space="preserve">Per limitare le problematiche relative alla diffusione degli odori ne</w:t>
      </w:r>
      <w:r>
        <w:t xml:space="preserve"> </w:t>
      </w:r>
      <w:r>
        <w:t xml:space="preserve">vengono valutate le emissioni</w:t>
      </w:r>
      <w:r>
        <w:rPr>
          <w:vertAlign w:val="superscript"/>
        </w:rPr>
        <w:t xml:space="preserve">5</w:t>
      </w:r>
      <w:r>
        <w:t xml:space="preserve">,</w:t>
      </w:r>
      <w:r>
        <w:t xml:space="preserve"> </w:t>
      </w:r>
      <w:r>
        <w:rPr>
          <w:vertAlign w:val="superscript"/>
        </w:rPr>
        <w:t xml:space="preserve">6</w:t>
      </w:r>
      <w:r>
        <w:t xml:space="preserve">.</w:t>
      </w:r>
    </w:p>
    <w:p>
      <w:pPr>
        <w:pStyle w:val="BodyText"/>
      </w:pPr>
      <w:r>
        <w:t xml:space="preserve">Nella letteratura scientifica attuale si osserva una scarsità di dati</w:t>
      </w:r>
      <w:r>
        <w:t xml:space="preserve"> </w:t>
      </w:r>
      <w:r>
        <w:t xml:space="preserve">relativi alla caratterizzazione di emissioni di odore da  impianti</w:t>
      </w:r>
      <w:r>
        <w:t xml:space="preserve"> </w:t>
      </w:r>
      <w:r>
        <w:t xml:space="preserve">integrati anaerobici-aerobici (AATPs). Alcuni studi</w:t>
      </w:r>
      <w:r>
        <w:t xml:space="preserve"> </w:t>
      </w:r>
      <w:r>
        <w:t xml:space="preserve">scientifici </w:t>
      </w:r>
      <w:r>
        <w:rPr>
          <w:vertAlign w:val="superscript"/>
        </w:rPr>
        <w:t xml:space="preserve">7</w:t>
      </w:r>
      <w:r>
        <w:t xml:space="preserve"> </w:t>
      </w:r>
      <w:r>
        <w:t xml:space="preserve">propongono l’utilizzo di Fattori di</w:t>
      </w:r>
      <w:r>
        <w:t xml:space="preserve"> </w:t>
      </w:r>
      <w:r>
        <w:t xml:space="preserve">Emissione dell’Odore (OEFs) come strumento atto a definire le strategie</w:t>
      </w:r>
      <w:r>
        <w:t xml:space="preserve"> </w:t>
      </w:r>
      <w:r>
        <w:t xml:space="preserve">più appropriate per il controllo dell’emissione negli impianti esistenti</w:t>
      </w:r>
      <w:r>
        <w:t xml:space="preserve"> </w:t>
      </w:r>
      <w:r>
        <w:t xml:space="preserve">o per la previsione dell’impatto degli odori in impianti</w:t>
      </w:r>
      <w:r>
        <w:t xml:space="preserve"> </w:t>
      </w:r>
      <w:r>
        <w:t xml:space="preserve">nuovi </w:t>
      </w:r>
      <w:r>
        <w:rPr>
          <w:vertAlign w:val="superscript"/>
        </w:rPr>
        <w:t xml:space="preserve">8</w:t>
      </w:r>
      <w:r>
        <w:t xml:space="preserve"> </w:t>
      </w:r>
      <w:r>
        <w:t xml:space="preserve">, </w:t>
      </w:r>
      <w:r>
        <w:rPr>
          <w:vertAlign w:val="superscript"/>
        </w:rPr>
        <w:t xml:space="preserve">9</w:t>
      </w:r>
      <w:r>
        <w:t xml:space="preserve">. Gli OEF sono definiti</w:t>
      </w:r>
      <w:r>
        <w:t xml:space="preserve"> </w:t>
      </w:r>
      <w:r>
        <w:t xml:space="preserve">come il rapporto tra tasso di emissione degli odori (OER) e un indice di</w:t>
      </w:r>
      <w:r>
        <w:t xml:space="preserve"> </w:t>
      </w:r>
      <w:r>
        <w:t xml:space="preserve">attività rappresentativo dell’impianto </w:t>
      </w:r>
      <w:r>
        <w:rPr>
          <w:vertAlign w:val="superscript"/>
        </w:rPr>
        <w:t xml:space="preserve">9</w:t>
      </w:r>
      <w:r>
        <w:t xml:space="preserve">. Gli studi</w:t>
      </w:r>
      <w:r>
        <w:t xml:space="preserve"> </w:t>
      </w:r>
      <w:r>
        <w:t xml:space="preserve">attuali indicano la capacità dell’impianto come possibile indice di</w:t>
      </w:r>
      <w:r>
        <w:t xml:space="preserve"> </w:t>
      </w:r>
      <w:r>
        <w:t xml:space="preserve">attività </w:t>
      </w:r>
      <w:r>
        <w:rPr>
          <w:vertAlign w:val="superscript"/>
        </w:rPr>
        <w:t xml:space="preserve">8</w:t>
      </w:r>
      <w:r>
        <w:t xml:space="preserve"> </w:t>
      </w:r>
      <w:r>
        <w:t xml:space="preserve">, </w:t>
      </w:r>
      <w:r>
        <w:rPr>
          <w:vertAlign w:val="superscript"/>
        </w:rPr>
        <w:t xml:space="preserve">9</w:t>
      </w:r>
      <w:r>
        <w:t xml:space="preserve">, </w:t>
      </w:r>
      <w:r>
        <w:rPr>
          <w:vertAlign w:val="superscript"/>
        </w:rPr>
        <w:t xml:space="preserve">10</w:t>
      </w:r>
      <w:r>
        <w:t xml:space="preserve">, i</w:t>
      </w:r>
      <w:r>
        <w:t xml:space="preserve"> </w:t>
      </w:r>
      <w:r>
        <w:t xml:space="preserve">quali sono spesso sostituiti, per limitare l’errore, con dati ottenuti</w:t>
      </w:r>
      <w:r>
        <w:t xml:space="preserve"> </w:t>
      </w:r>
      <w:r>
        <w:t xml:space="preserve">sperimentalmente </w:t>
      </w:r>
      <w:r>
        <w:rPr>
          <w:vertAlign w:val="superscript"/>
        </w:rPr>
        <w:t xml:space="preserve">11</w:t>
      </w:r>
      <w:r>
        <w:t xml:space="preserve">. Le principali fonti di odore con</w:t>
      </w:r>
      <w:r>
        <w:t xml:space="preserve"> </w:t>
      </w:r>
      <w:r>
        <w:t xml:space="preserve">le relative concentrazioni sono state analizzate attraverso</w:t>
      </w:r>
      <w:r>
        <w:t xml:space="preserve"> </w:t>
      </w:r>
      <w:r>
        <w:t xml:space="preserve">l’olfattometria dinamica. Queste misurazioni sono state studiate e</w:t>
      </w:r>
      <w:r>
        <w:t xml:space="preserve"> </w:t>
      </w:r>
      <w:r>
        <w:t xml:space="preserve">confrontate con quelle teoriche proposte nella letteratura attuale,</w:t>
      </w:r>
      <w:r>
        <w:t xml:space="preserve"> </w:t>
      </w:r>
      <w:r>
        <w:t xml:space="preserve">utilizzando la capacità complessiva dell’impianto come indice di</w:t>
      </w:r>
      <w:r>
        <w:t xml:space="preserve"> </w:t>
      </w:r>
      <w:r>
        <w:t xml:space="preserve">attività. Obiettivo di questo studio è contribuire alla conoscenza e</w:t>
      </w:r>
      <w:r>
        <w:t xml:space="preserve"> </w:t>
      </w:r>
      <w:r>
        <w:t xml:space="preserve">alla comprensione delle emissioni di odori di un impianto integrato di</w:t>
      </w:r>
      <w:r>
        <w:t xml:space="preserve"> </w:t>
      </w:r>
      <w:r>
        <w:t xml:space="preserve">trattamento dei rifiuti, fornendo dati che possono essere adottati per</w:t>
      </w:r>
      <w:r>
        <w:t xml:space="preserve"> </w:t>
      </w:r>
      <w:r>
        <w:t xml:space="preserve">la previsione dell’indice di attività dell’impianto stesso e utilizzati</w:t>
      </w:r>
      <w:r>
        <w:t xml:space="preserve"> </w:t>
      </w:r>
      <w:r>
        <w:t xml:space="preserve">per la valutazione dell’impatto olfattivo.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23" w:name="programma-di-monitoraggio-e-valutazione"/>
      <w:bookmarkEnd w:id="23"/>
      <w:r>
        <w:t xml:space="preserve">Programma di monitoraggio e</w:t>
      </w:r>
      <w:r>
        <w:t xml:space="preserve"> </w:t>
      </w:r>
      <w:r>
        <w:t xml:space="preserve">valutazione</w:t>
      </w:r>
    </w:p>
    <w:p>
      <w:pPr>
        <w:pStyle w:val="Heading1"/>
      </w:pPr>
      <w:bookmarkStart w:id="24" w:name="section"/>
      <w:bookmarkEnd w:id="24"/>
    </w:p>
    <w:p>
      <w:pPr>
        <w:pStyle w:val="FirstParagraph"/>
      </w:pPr>
      <w:r>
        <w:t xml:space="preserve">La potenzialità dell’impianto è pari a circa 30.000 t/a, di cui</w:t>
      </w:r>
      <w:r>
        <w:t xml:space="preserve"> </w:t>
      </w:r>
      <w:r>
        <w:t xml:space="preserve">all’incirca l’80% è la frazione organica dei rifiuti solidi (OFSW) e il</w:t>
      </w:r>
      <w:r>
        <w:t xml:space="preserve"> </w:t>
      </w:r>
      <w:r>
        <w:t xml:space="preserve">rimanente e scarto verde. L’impianto è strutturato con tre linee di</w:t>
      </w:r>
      <w:r>
        <w:t xml:space="preserve"> </w:t>
      </w:r>
      <w:r>
        <w:t xml:space="preserve">trattamento, una dedicata al processo aerobico, uno per il trattamento</w:t>
      </w:r>
      <w:r>
        <w:t xml:space="preserve"> </w:t>
      </w:r>
      <w:r>
        <w:t xml:space="preserve">anaerobico e una fase comune per entrambi i processi ovvero il</w:t>
      </w:r>
      <w:r>
        <w:t xml:space="preserve"> </w:t>
      </w:r>
      <w:r>
        <w:t xml:space="preserve">trattamento di aree esauste con l’ausilio di scrubber e biofiltri.</w:t>
      </w:r>
    </w:p>
    <w:p>
      <w:pPr>
        <w:pStyle w:val="FigureWithCaption"/>
      </w:pPr>
      <w:r>
        <w:drawing>
          <wp:inline>
            <wp:extent cx="945600" cy="519600"/>
            <wp:effectExtent b="0" l="0" r="0" t="0"/>
            <wp:docPr descr="Linea di trattamento " title="" id="1" name="Picture"/>
            <a:graphic>
              <a:graphicData uri="http://schemas.openxmlformats.org/drawingml/2006/picture">
                <pic:pic>
                  <pic:nvPicPr>
                    <pic:cNvPr descr="figures/Immagine/Immagine-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600" cy="51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Linea di trattamento</w:t>
      </w:r>
      <w:r>
        <w:t xml:space="preserve"> </w:t>
      </w:r>
    </w:p>
    <w:p>
      <w:pPr>
        <w:pStyle w:val="Heading1"/>
      </w:pPr>
      <w:bookmarkStart w:id="26" w:name="section-1"/>
      <w:bookmarkEnd w:id="26"/>
    </w:p>
    <w:p>
      <w:pPr>
        <w:pStyle w:val="FirstParagraph"/>
      </w:pPr>
      <w:r>
        <w:br w:type="textWrapping"/>
      </w:r>
      <w:r>
        <w:t xml:space="preserve">Il monitoraggio ha avuto una durata di un anno con una frequenza di</w:t>
      </w:r>
      <w:r>
        <w:t xml:space="preserve"> </w:t>
      </w:r>
      <w:r>
        <w:t xml:space="preserve">campionamento mensile. Sono state analizzate le unità di trattamento con</w:t>
      </w:r>
      <w:r>
        <w:t xml:space="preserve"> </w:t>
      </w:r>
      <w:r>
        <w:t xml:space="preserve">il maggior tasso di emissioni di odori: punti di stoccaggio (rifiuti</w:t>
      </w:r>
      <w:r>
        <w:t xml:space="preserve"> </w:t>
      </w:r>
      <w:r>
        <w:t xml:space="preserve">organici, materiale strutturante, prodotto finale compost) e biofiltri.</w:t>
      </w:r>
    </w:p>
    <w:p>
      <w:pPr>
        <w:pStyle w:val="BodyText"/>
      </w:pPr>
      <w:r>
        <w:t xml:space="preserve">Contemporaneamente al campionamento degli odori è stata analizzata anche</w:t>
      </w:r>
      <w:r>
        <w:t xml:space="preserve"> </w:t>
      </w:r>
      <w:r>
        <w:t xml:space="preserve">la frazione organica solida, valutandone il contenuto di materia</w:t>
      </w:r>
      <w:r>
        <w:t xml:space="preserve"> </w:t>
      </w:r>
      <w:r>
        <w:t xml:space="preserve">organica. I campioni raccolti sono 72 di odori e 12 di OFSW.</w:t>
      </w:r>
    </w:p>
    <w:p>
      <w:pPr>
        <w:pStyle w:val="BodyText"/>
      </w:pPr>
      <w:r>
        <w:t xml:space="preserve">Le unità esaminate, sono state campionate utilizzando una camera di</w:t>
      </w:r>
      <w:r>
        <w:t xml:space="preserve"> </w:t>
      </w:r>
      <w:r>
        <w:t xml:space="preserve">flusso SF450 (Scentroid, CDN), con una pompa a vuoto avente un sacchetto</w:t>
      </w:r>
      <w:r>
        <w:t xml:space="preserve"> </w:t>
      </w:r>
      <w:r>
        <w:t xml:space="preserve">di 10 L. I parametri operativi della camera di flusso utilizzata sono la</w:t>
      </w:r>
      <w:r>
        <w:t xml:space="preserve"> </w:t>
      </w:r>
      <w:r>
        <w:t xml:space="preserve">superficie coperta pari a 0,155 m</w:t>
      </w:r>
      <w:r>
        <w:rPr>
          <w:vertAlign w:val="superscript"/>
        </w:rPr>
        <w:t xml:space="preserve">2</w:t>
      </w:r>
      <w:r>
        <w:t xml:space="preserve"> </w:t>
      </w:r>
      <w:r>
        <w:t xml:space="preserve">e un flusso d’aria</w:t>
      </w:r>
      <w:r>
        <w:t xml:space="preserve"> </w:t>
      </w:r>
      <w:r>
        <w:t xml:space="preserve">neutro all’ingresso pari a 3,9 lpm.</w:t>
      </w:r>
      <w:r>
        <w:t xml:space="preserve"> </w:t>
      </w:r>
    </w:p>
    <w:p>
      <w:pPr>
        <w:pStyle w:val="BodyText"/>
      </w:pPr>
      <w:r>
        <w:t xml:space="preserve">Le analisi della composizione dell’OFSW sono state fatte su un campione</w:t>
      </w:r>
      <w:r>
        <w:t xml:space="preserve"> </w:t>
      </w:r>
      <w:r>
        <w:t xml:space="preserve">iniziale di 300 kg secondo il metodo descritto nell’allegato B del DGRV</w:t>
      </w:r>
      <w:r>
        <w:t xml:space="preserve"> </w:t>
      </w:r>
      <w:r>
        <w:t xml:space="preserve">568/2005 adottata dal Consorzio dei compostatori italiani (CIC).</w:t>
      </w:r>
    </w:p>
    <w:p>
      <w:pPr>
        <w:pStyle w:val="BodyText"/>
      </w:pPr>
      <w:r>
        <w:t xml:space="preserve">In questo studio </w:t>
      </w:r>
      <w:r>
        <w:rPr>
          <w:vertAlign w:val="superscript"/>
        </w:rPr>
        <w:t xml:space="preserve">12</w:t>
      </w:r>
      <w:r>
        <w:t xml:space="preserve"> </w:t>
      </w:r>
      <w:r>
        <w:t xml:space="preserve">le concentrazioni degli odori sono</w:t>
      </w:r>
      <w:r>
        <w:t xml:space="preserve"> </w:t>
      </w:r>
      <w:r>
        <w:t xml:space="preserve">state valutate mediante analisi olfattometriche dinamiche secondo la</w:t>
      </w:r>
      <w:r>
        <w:t xml:space="preserve"> </w:t>
      </w:r>
      <w:r>
        <w:t xml:space="preserve">norma EN 13725:2003. È stato utilizzato l’olfattometro TO8 (ECOMA, D),</w:t>
      </w:r>
      <w:r>
        <w:t xml:space="preserve"> </w:t>
      </w:r>
      <w:r>
        <w:t xml:space="preserve">basato sul metodo</w:t>
      </w:r>
      <w:r>
        <w:t xml:space="preserve"> </w:t>
      </w:r>
      <w:r>
        <w:t xml:space="preserve">“</w:t>
      </w:r>
      <w:r>
        <w:t xml:space="preserve">si/no</w:t>
      </w:r>
      <w:r>
        <w:t xml:space="preserve">”</w:t>
      </w:r>
      <w:r>
        <w:t xml:space="preserve">; con l ‘ausilio di un gruppo di valutazione</w:t>
      </w:r>
      <w:r>
        <w:t xml:space="preserve"> </w:t>
      </w:r>
      <w:r>
        <w:t xml:space="preserve">composto da quattro persone addestrate. Tutte le misurazioni sono state</w:t>
      </w:r>
      <w:r>
        <w:t xml:space="preserve"> </w:t>
      </w:r>
      <w:r>
        <w:t xml:space="preserve">analizzate entro 14 ore dal campionamento.</w:t>
      </w:r>
    </w:p>
    <w:p>
      <w:pPr>
        <w:pStyle w:val="BodyText"/>
      </w:pPr>
      <w:r>
        <w:t xml:space="preserve">Il calcolo delle emissioni di odori (OER, ou</w:t>
      </w:r>
      <w:r>
        <w:rPr>
          <w:vertAlign w:val="subscript"/>
        </w:rPr>
        <w:t xml:space="preserve">E</w:t>
      </w:r>
      <w:r>
        <w:t xml:space="preserve"> </w:t>
      </w:r>
      <w:r>
        <w:t xml:space="preserve">s</w:t>
      </w:r>
      <w:r>
        <w:rPr>
          <w:vertAlign w:val="superscript"/>
        </w:rPr>
        <w:t xml:space="preserve">-1</w:t>
      </w:r>
      <w:r>
        <w:t xml:space="preserve">) del sistema studiato è il prodotto tra il tasso</w:t>
      </w:r>
      <w:r>
        <w:t xml:space="preserve"> </w:t>
      </w:r>
      <w:r>
        <w:t xml:space="preserve">di emissione specifico dell’odore (SOER, ou</w:t>
      </w:r>
      <w:r>
        <w:rPr>
          <w:vertAlign w:val="subscript"/>
        </w:rPr>
        <w:t xml:space="preserve">E</w:t>
      </w:r>
      <w:r>
        <w:t xml:space="preserve"> </w:t>
      </w:r>
      <w:r>
        <w:t xml:space="preserve">s</w:t>
      </w:r>
      <w:r>
        <w:rPr>
          <w:vertAlign w:val="superscript"/>
        </w:rPr>
        <w:t xml:space="preserve">-1</w:t>
      </w:r>
      <w:r>
        <w:t xml:space="preserve">m</w:t>
      </w:r>
      <w:r>
        <w:rPr>
          <w:vertAlign w:val="superscript"/>
        </w:rPr>
        <w:t xml:space="preserve">-2</w:t>
      </w:r>
      <w:r>
        <w:t xml:space="preserve">) e l’area della superficie di</w:t>
      </w:r>
      <w:r>
        <w:t xml:space="preserve"> </w:t>
      </w:r>
      <w:r>
        <w:t xml:space="preserve">emissione (A</w:t>
      </w:r>
      <w:r>
        <w:rPr>
          <w:vertAlign w:val="subscript"/>
        </w:rPr>
        <w:t xml:space="preserve">E</w:t>
      </w:r>
      <w:r>
        <w:t xml:space="preserve">, m</w:t>
      </w:r>
      <w:r>
        <w:rPr>
          <w:vertAlign w:val="superscript"/>
        </w:rPr>
        <w:t xml:space="preserve">2</w:t>
      </w:r>
      <w:r>
        <w:t xml:space="preserve">) che si è</w:t>
      </w:r>
      <w:r>
        <w:t xml:space="preserve"> </w:t>
      </w:r>
      <w:r>
        <w:t xml:space="preserve">campionata. SOER è stato calcolato moltiplicando la concentrazione</w:t>
      </w:r>
      <w:r>
        <w:t xml:space="preserve"> </w:t>
      </w:r>
      <w:r>
        <w:t xml:space="preserve">olfattiva, misurata all’uscita della camera di flusso, (COD,</w:t>
      </w:r>
      <w:r>
        <w:t xml:space="preserve"> </w:t>
      </w:r>
      <w:r>
        <w:t xml:space="preserve">ou</w:t>
      </w:r>
      <w:r>
        <w:rPr>
          <w:vertAlign w:val="subscript"/>
        </w:rPr>
        <w:t xml:space="preserve">E</w:t>
      </w:r>
      <w:r>
        <w:t xml:space="preserve"> </w:t>
      </w:r>
      <w:r>
        <w:t xml:space="preserve">m</w:t>
      </w:r>
      <w:r>
        <w:rPr>
          <w:vertAlign w:val="superscript"/>
        </w:rPr>
        <w:t xml:space="preserve">-3</w:t>
      </w:r>
      <w:r>
        <w:t xml:space="preserve">) per la portata dell’aria</w:t>
      </w:r>
      <w:r>
        <w:t xml:space="preserve"> </w:t>
      </w:r>
      <w:r>
        <w:t xml:space="preserve">aspirata (m</w:t>
      </w:r>
      <w:r>
        <w:rPr>
          <w:vertAlign w:val="superscript"/>
        </w:rPr>
        <w:t xml:space="preserve">3</w:t>
      </w:r>
      <w:r>
        <w:t xml:space="preserve">), il tutto diviso l’area di base del</w:t>
      </w:r>
      <w:r>
        <w:t xml:space="preserve"> </w:t>
      </w:r>
      <w:r>
        <w:t xml:space="preserve">corpo della camera (m</w:t>
      </w:r>
      <w:r>
        <w:rPr>
          <w:vertAlign w:val="superscript"/>
        </w:rPr>
        <w:t xml:space="preserve">2</w:t>
      </w:r>
      <w:r>
        <w:t xml:space="preserve">).</w:t>
      </w:r>
    </w:p>
    <w:p>
      <w:pPr>
        <w:pStyle w:val="BodyText"/>
      </w:pPr>
      <w:r>
        <w:t xml:space="preserve">Le OEF</w:t>
      </w:r>
      <w:r>
        <w:rPr>
          <w:vertAlign w:val="subscript"/>
        </w:rPr>
        <w:t xml:space="preserve">S</w:t>
      </w:r>
      <w:r>
        <w:t xml:space="preserve"> </w:t>
      </w:r>
      <w:r>
        <w:t xml:space="preserve">sono state calcolate dividendo il tasso di</w:t>
      </w:r>
      <w:r>
        <w:t xml:space="preserve"> </w:t>
      </w:r>
      <w:r>
        <w:t xml:space="preserve">emissione di odori (OER, ou</w:t>
      </w:r>
      <w:r>
        <w:rPr>
          <w:vertAlign w:val="subscript"/>
        </w:rPr>
        <w:t xml:space="preserve">E</w:t>
      </w:r>
      <w:r>
        <w:t xml:space="preserve"> </w:t>
      </w:r>
      <w:r>
        <w:t xml:space="preserve">s</w:t>
      </w:r>
      <w:r>
        <w:rPr>
          <w:vertAlign w:val="superscript"/>
        </w:rPr>
        <w:t xml:space="preserve">-1</w:t>
      </w:r>
      <w:r>
        <w:t xml:space="preserve">) per</w:t>
      </w:r>
      <w:r>
        <w:t xml:space="preserve"> </w:t>
      </w:r>
      <w:r>
        <w:t xml:space="preserve">un indice specifico di attività (A), che è rappresentativo dell’impianto</w:t>
      </w:r>
      <w:r>
        <w:t xml:space="preserve"> </w:t>
      </w:r>
      <w:r>
        <w:t xml:space="preserve">esaminato e associato a una quantità di odore emesso. In seguito, sono</w:t>
      </w:r>
      <w:r>
        <w:t xml:space="preserve"> </w:t>
      </w:r>
      <w:r>
        <w:t xml:space="preserve">stati valutati anche gli OEF per ciascuna fonte oggetto del monitoraggio</w:t>
      </w:r>
      <w:r>
        <w:t xml:space="preserve"> </w:t>
      </w:r>
      <w:r>
        <w:t xml:space="preserve">dividendo il valore medio OER, determinato per ciascuna fonte durante</w:t>
      </w:r>
      <w:r>
        <w:t xml:space="preserve"> </w:t>
      </w:r>
      <w:r>
        <w:t xml:space="preserve">l’intero periodo di monitoraggio, per la capacità dell’impianto.</w:t>
      </w:r>
    </w:p>
    <w:p>
      <w:pPr>
        <w:pStyle w:val="BodyText"/>
      </w:pPr>
      <w:r>
        <w:t xml:space="preserve">Per migliorare e ridurre il margine di errore nella determinazione degli</w:t>
      </w:r>
      <w:r>
        <w:t xml:space="preserve"> </w:t>
      </w:r>
      <w:r>
        <w:t xml:space="preserve">OEF è stato calcolato il SOEF adottando come indice uno specifico</w:t>
      </w:r>
      <w:r>
        <w:t xml:space="preserve"> </w:t>
      </w:r>
      <w:r>
        <w:t xml:space="preserve">parametro rappresentativo della materia organica (OM) presente</w:t>
      </w:r>
      <w:r>
        <w:t xml:space="preserve"> </w:t>
      </w:r>
      <w:r>
        <w:t xml:space="preserve">nell’OFSW. L’OM è la percentuale della quantità totale di OFSW presente</w:t>
      </w:r>
      <w:r>
        <w:t xml:space="preserve"> </w:t>
      </w:r>
      <w:r>
        <w:t xml:space="preserve">durante il campionamento degli odori ed espressa in tonnellate. La</w:t>
      </w:r>
      <w:r>
        <w:t xml:space="preserve"> </w:t>
      </w:r>
      <w:r>
        <w:t xml:space="preserve">validità del nuovo parametro proposto come indice di attività è stata</w:t>
      </w:r>
      <w:r>
        <w:t xml:space="preserve"> </w:t>
      </w:r>
      <w:r>
        <w:t xml:space="preserve">valutata attraverso studi di correlazione, analizzando la sua dipendenza</w:t>
      </w:r>
      <w:r>
        <w:t xml:space="preserve"> </w:t>
      </w:r>
      <w:r>
        <w:t xml:space="preserve">dall’emissione di odori calcolata. I coefficienti di correlazione</w:t>
      </w:r>
      <w:r>
        <w:t xml:space="preserve"> </w:t>
      </w:r>
      <w:r>
        <w:t xml:space="preserve">lineare (R</w:t>
      </w:r>
      <w:r>
        <w:rPr>
          <w:vertAlign w:val="superscript"/>
        </w:rPr>
        <w:t xml:space="preserve">2</w:t>
      </w:r>
      <w:r>
        <w:t xml:space="preserve">), con un valore superiore a 0,95 sono</w:t>
      </w:r>
      <w:r>
        <w:t xml:space="preserve"> </w:t>
      </w:r>
      <w:r>
        <w:t xml:space="preserve">stati considerati indicatori di buona dipendenza. </w:t>
      </w:r>
    </w:p>
    <w:p>
      <w:pPr>
        <w:pStyle w:val="BodyText"/>
      </w:pPr>
      <w:r>
        <w:t xml:space="preserve">I risultati ottenuti mostrano che la concentrazione massima di odori tra</w:t>
      </w:r>
      <w:r>
        <w:t xml:space="preserve"> </w:t>
      </w:r>
      <w:r>
        <w:t xml:space="preserve">le fonti esaminate è l’unità di ricezione dei rifiuti OFSW (2545 ouE</w:t>
      </w:r>
      <w:r>
        <w:t xml:space="preserve"> </w:t>
      </w:r>
      <w:r>
        <w:t xml:space="preserve">m</w:t>
      </w:r>
      <w:r>
        <w:rPr>
          <w:vertAlign w:val="superscript"/>
        </w:rPr>
        <w:t xml:space="preserve">-3</w:t>
      </w:r>
      <w:r>
        <w:t xml:space="preserve">), mentre la più bassa è quella misurata al</w:t>
      </w:r>
      <w:r>
        <w:t xml:space="preserve"> </w:t>
      </w:r>
      <w:r>
        <w:t xml:space="preserve">biofiltro dove viene trattata l’aria esausta del secondo capannone di</w:t>
      </w:r>
      <w:r>
        <w:t xml:space="preserve"> </w:t>
      </w:r>
      <w:r>
        <w:t xml:space="preserve">stagionatura (67 ouE m</w:t>
      </w:r>
      <w:r>
        <w:rPr>
          <w:vertAlign w:val="superscript"/>
        </w:rPr>
        <w:t xml:space="preserve">-3</w:t>
      </w:r>
      <w:r>
        <w:t xml:space="preserve">). La maggiore variabilità</w:t>
      </w:r>
      <w:r>
        <w:t xml:space="preserve"> </w:t>
      </w:r>
      <w:r>
        <w:t xml:space="preserve">delle concentrazioni di odori è alla ricezione dei rifiuti verdi. Le</w:t>
      </w:r>
      <w:r>
        <w:t xml:space="preserve"> </w:t>
      </w:r>
      <w:r>
        <w:t xml:space="preserve">concentrazioni odorigene misurate ai biofiltri non hanno mai superato il</w:t>
      </w:r>
      <w:r>
        <w:t xml:space="preserve"> </w:t>
      </w:r>
      <w:r>
        <w:t xml:space="preserve">valore di 300 ouE m</w:t>
      </w:r>
      <w:r>
        <w:rPr>
          <w:vertAlign w:val="superscript"/>
        </w:rPr>
        <w:t xml:space="preserve">-3</w:t>
      </w:r>
      <w:r>
        <w:t xml:space="preserve">, fissato come limite dalle</w:t>
      </w:r>
      <w:r>
        <w:t xml:space="preserve"> </w:t>
      </w:r>
      <w:r>
        <w:t xml:space="preserve">attuali linee guida in Italia.</w:t>
      </w:r>
    </w:p>
    <w:p>
      <w:pPr>
        <w:pStyle w:val="BodyText"/>
      </w:pPr>
      <w:r>
        <w:t xml:space="preserve">I dati ottenuti mostrano valori diversi da quelli presentati nella</w:t>
      </w:r>
      <w:r>
        <w:t xml:space="preserve"> </w:t>
      </w:r>
      <w:r>
        <w:t xml:space="preserve">letteratura attuale per un trattamento di impianti</w:t>
      </w:r>
      <w:r>
        <w:t xml:space="preserve"> </w:t>
      </w:r>
      <w:r>
        <w:t xml:space="preserve">simili </w:t>
      </w:r>
      <w:r>
        <w:rPr>
          <w:vertAlign w:val="superscript"/>
        </w:rPr>
        <w:t xml:space="preserve">9</w:t>
      </w:r>
      <w:r>
        <w:t xml:space="preserve"> </w:t>
      </w:r>
      <w:r>
        <w:t xml:space="preserve">considerando la stessa capacità</w:t>
      </w:r>
      <w:r>
        <w:t xml:space="preserve"> </w:t>
      </w:r>
      <w:r>
        <w:t xml:space="preserve">dell’impianto. La differenza tra i valori attuali e quelli teorici è</w:t>
      </w:r>
      <w:r>
        <w:t xml:space="preserve"> </w:t>
      </w:r>
      <w:r>
        <w:t xml:space="preserve">probabilmente anche relativa alla diversa strumentazione di</w:t>
      </w:r>
      <w:r>
        <w:t xml:space="preserve"> </w:t>
      </w:r>
      <w:r>
        <w:t xml:space="preserve">campionamento utilizzata in questo studio da quella</w:t>
      </w:r>
      <w:r>
        <w:t xml:space="preserve"> </w:t>
      </w:r>
      <w:r>
        <w:t xml:space="preserve">di </w:t>
      </w:r>
      <w:r>
        <w:rPr>
          <w:vertAlign w:val="superscript"/>
        </w:rPr>
        <w:t xml:space="preserve">9</w:t>
      </w:r>
      <w:r>
        <w:t xml:space="preserve"> </w:t>
      </w:r>
      <w:r>
        <w:t xml:space="preserve">(camera di flusso vs. galleria del vento), che può</w:t>
      </w:r>
      <w:r>
        <w:t xml:space="preserve"> </w:t>
      </w:r>
      <w:r>
        <w:t xml:space="preserve">portare a valori OER diversi, come dimostrato dallo studio</w:t>
      </w:r>
      <w:r>
        <w:t xml:space="preserve"> </w:t>
      </w:r>
      <w:r>
        <w:t xml:space="preserve">di </w:t>
      </w:r>
      <w:r>
        <w:rPr>
          <w:vertAlign w:val="superscript"/>
        </w:rPr>
        <w:t xml:space="preserve">13</w:t>
      </w:r>
      <w:r>
        <w:t xml:space="preserve">.</w:t>
      </w:r>
    </w:p>
    <w:p>
      <w:pPr>
        <w:pStyle w:val="BodyText"/>
      </w:pPr>
      <w:r>
        <w:t xml:space="preserve">I risultati indicano per i dati ottenuti e il tipo di OFSW esaminato</w:t>
      </w:r>
      <w:r>
        <w:t xml:space="preserve"> </w:t>
      </w:r>
      <w:r>
        <w:t xml:space="preserve">l’esistenza di una proporzionalità tra l’OER calcolato e l’OM</w:t>
      </w:r>
      <w:r>
        <w:t xml:space="preserve"> </w:t>
      </w:r>
      <w:r>
        <w:t xml:space="preserve">determinato con coefficienti di correlazione lineari</w:t>
      </w:r>
      <w:r>
        <w:t xml:space="preserve"> </w:t>
      </w:r>
      <w:r>
        <w:t xml:space="preserve">(R</w:t>
      </w:r>
      <w:r>
        <w:rPr>
          <w:vertAlign w:val="superscript"/>
        </w:rPr>
        <w:t xml:space="preserve">2</w:t>
      </w:r>
      <w:r>
        <w:t xml:space="preserve">) pari allo 0,967 e di conseguenza la materia</w:t>
      </w:r>
      <w:r>
        <w:t xml:space="preserve"> </w:t>
      </w:r>
      <w:r>
        <w:t xml:space="preserve">organica può pertanto essere considerata come un indice di attività (A)</w:t>
      </w:r>
      <w:r>
        <w:t xml:space="preserve"> </w:t>
      </w:r>
      <w:r>
        <w:t xml:space="preserve">per la fase di ricevimento dell’OFSW per prevedere le emissioni</w:t>
      </w:r>
      <w:r>
        <w:t xml:space="preserve"> </w:t>
      </w:r>
      <w:r>
        <w:t xml:space="preserve">odorigene (OER).</w:t>
      </w:r>
    </w:p>
    <w:p>
      <w:pPr>
        <w:pStyle w:val="Heading1"/>
      </w:pPr>
      <w:bookmarkStart w:id="27" w:name="conclusioni"/>
      <w:bookmarkEnd w:id="27"/>
      <w:r>
        <w:t xml:space="preserve">Conclusioni</w:t>
      </w:r>
    </w:p>
    <w:p>
      <w:pPr>
        <w:pStyle w:val="FirstParagraph"/>
      </w:pPr>
      <w:r>
        <w:t xml:space="preserve">Sono stati determinati e calcolati per un grande AATP di rifiuti solidi</w:t>
      </w:r>
      <w:r>
        <w:t xml:space="preserve"> </w:t>
      </w:r>
      <w:r>
        <w:t xml:space="preserve">organici le concentrazioni e le emissioni di odore delle unità di</w:t>
      </w:r>
      <w:r>
        <w:t xml:space="preserve"> </w:t>
      </w:r>
      <w:r>
        <w:t xml:space="preserve">trattamento con una maggiore tendenza alle emissioni.</w:t>
      </w:r>
    </w:p>
    <w:p>
      <w:pPr>
        <w:pStyle w:val="BodyText"/>
      </w:pPr>
      <w:r>
        <w:t xml:space="preserve">I risultati ottenuti mostrano che le principali fonti di odore sono le</w:t>
      </w:r>
      <w:r>
        <w:t xml:space="preserve"> </w:t>
      </w:r>
      <w:r>
        <w:t xml:space="preserve">unita di raccolta rifiuti (OFSW e rifiuti verdi). È stato valutato l’OEF</w:t>
      </w:r>
      <w:r>
        <w:t xml:space="preserve"> </w:t>
      </w:r>
      <w:r>
        <w:t xml:space="preserve">attraverso un set di dati sperimentali e sono stati confrontati con i</w:t>
      </w:r>
      <w:r>
        <w:t xml:space="preserve"> </w:t>
      </w:r>
      <w:r>
        <w:t xml:space="preserve">dati teorici che vengono proposti nella letteratura corrente sugli</w:t>
      </w:r>
      <w:r>
        <w:t xml:space="preserve"> </w:t>
      </w:r>
      <w:r>
        <w:t xml:space="preserve">impianti MBT, utilizzando come indice di attività la capacità</w:t>
      </w:r>
      <w:r>
        <w:t xml:space="preserve"> </w:t>
      </w:r>
      <w:r>
        <w:t xml:space="preserve">dell’impianto. Il confronto degli OEF valutati con quelli teorici hanno</w:t>
      </w:r>
      <w:r>
        <w:t xml:space="preserve"> </w:t>
      </w:r>
      <w:r>
        <w:t xml:space="preserve">mostrato valori molto diversi. Lo studio conferma l’accuratezza dell’uso</w:t>
      </w:r>
      <w:r>
        <w:t xml:space="preserve"> </w:t>
      </w:r>
      <w:r>
        <w:t xml:space="preserve">degli OEF dipendente dalla possibilità di questo parametro di</w:t>
      </w:r>
      <w:r>
        <w:t xml:space="preserve"> </w:t>
      </w:r>
      <w:r>
        <w:t xml:space="preserve">rappresentare completamente le emissioni di odori. L’Utilizzo della</w:t>
      </w:r>
      <w:r>
        <w:t xml:space="preserve"> </w:t>
      </w:r>
      <w:r>
        <w:t xml:space="preserve">capacità dell’impianto come indice di attività per calcolare solo l’OEF</w:t>
      </w:r>
      <w:r>
        <w:t xml:space="preserve"> </w:t>
      </w:r>
      <w:r>
        <w:t xml:space="preserve">è molto riduttivo in quanto può essere applicato a tutte le fonti di un</w:t>
      </w:r>
      <w:r>
        <w:t xml:space="preserve"> </w:t>
      </w:r>
      <w:r>
        <w:t xml:space="preserve">impianto per prevedere le loro emissioni di odori. Si suggerisce quindi</w:t>
      </w:r>
      <w:r>
        <w:t xml:space="preserve"> </w:t>
      </w:r>
      <w:r>
        <w:t xml:space="preserve">di utilizzarlo per identificare le SOEFs.</w:t>
      </w:r>
    </w:p>
    <w:p>
      <w:pPr>
        <w:pStyle w:val="BodyText"/>
      </w:pPr>
      <w:r>
        <w:t xml:space="preserve">Da questo studio si evince l’esistenza di una relazione di</w:t>
      </w:r>
      <w:r>
        <w:t xml:space="preserve"> </w:t>
      </w:r>
      <w:r>
        <w:t xml:space="preserve">proporzionalità tra l’OER calcolato e l’OM determinato con coefficienti</w:t>
      </w:r>
      <w:r>
        <w:t xml:space="preserve"> </w:t>
      </w:r>
      <w:r>
        <w:t xml:space="preserve">di correlazione lineari (R</w:t>
      </w:r>
      <w:r>
        <w:rPr>
          <w:vertAlign w:val="superscript"/>
        </w:rPr>
        <w:t xml:space="preserve">2</w:t>
      </w:r>
      <w:r>
        <w:t xml:space="preserve">) pari a 0,967 e di</w:t>
      </w:r>
      <w:r>
        <w:t xml:space="preserve"> </w:t>
      </w:r>
      <w:r>
        <w:t xml:space="preserve">conseguenza la possibilità di utilizzare questo nuovo parametro (OM)</w:t>
      </w:r>
      <w:r>
        <w:t xml:space="preserve"> </w:t>
      </w:r>
      <w:r>
        <w:t xml:space="preserve">come indice di attività per calcolare l’OEF e l’OER per questa unità.</w:t>
      </w:r>
      <w:r>
        <w:t xml:space="preserve"> </w:t>
      </w:r>
      <w:r>
        <w:t xml:space="preserve">Per ratificare ciò che è stato definito in forma sperimentale in questo</w:t>
      </w:r>
      <w:r>
        <w:t xml:space="preserve"> </w:t>
      </w:r>
      <w:r>
        <w:t xml:space="preserve">lavoro sono necessari studi aggiuntivi su impianti simili.</w:t>
      </w:r>
    </w:p>
    <w:p>
      <w:pPr>
        <w:pStyle w:val="Heading1"/>
      </w:pPr>
      <w:bookmarkStart w:id="28" w:name="references"/>
      <w:bookmarkEnd w:id="28"/>
      <w:r>
        <w:t xml:space="preserve">References</w:t>
      </w:r>
    </w:p>
    <w:p>
      <w:pPr>
        <w:pStyle w:val="FirstParagraph"/>
      </w:pPr>
      <w:r>
        <w:t xml:space="preserve">1.A.Cesaro &amp; V.Belgiorno.</w:t>
      </w:r>
      <w:r>
        <w:t xml:space="preserve"> </w:t>
      </w:r>
      <w:r>
        <w:t xml:space="preserve">Pretreatment methods to improve anaerobic biodegradability of organic municipal solid waste fractions</w:t>
      </w:r>
      <w:r>
        <w:t xml:space="preserve">.</w:t>
      </w:r>
      <w:r>
        <w:t xml:space="preserve"> </w:t>
      </w:r>
      <w:r>
        <w:rPr>
          <w:i/>
        </w:rPr>
        <w:t xml:space="preserve">Chemical Engineering Journal</w:t>
      </w:r>
      <w:r>
        <w:t xml:space="preserve"> </w:t>
      </w:r>
      <w:r>
        <w:rPr>
          <w:b/>
        </w:rPr>
        <w:t xml:space="preserve">240</w:t>
      </w:r>
      <w:r>
        <w:t xml:space="preserve">, 24–37 (2014).</w:t>
      </w:r>
    </w:p>
    <w:p>
      <w:pPr>
        <w:pStyle w:val="BodyText"/>
      </w:pPr>
      <w:r>
        <w:t xml:space="preserve">2.A.Cesaro, A.Conte, V.Belgiorno, A.Siciliano &amp; M.Guida.</w:t>
      </w:r>
      <w:r>
        <w:t xml:space="preserve"> </w:t>
      </w:r>
      <w:r>
        <w:t xml:space="preserve">The evolution of compost stability and maturity during the full-scale treatment of the organic fraction of municipal solid waste</w:t>
      </w:r>
      <w:r>
        <w:t xml:space="preserve">.</w:t>
      </w:r>
      <w:r>
        <w:t xml:space="preserve"> </w:t>
      </w:r>
      <w:r>
        <w:rPr>
          <w:i/>
        </w:rPr>
        <w:t xml:space="preserve">Journal of Environmental Management</w:t>
      </w:r>
      <w:r>
        <w:t xml:space="preserve"> </w:t>
      </w:r>
      <w:r>
        <w:rPr>
          <w:b/>
        </w:rPr>
        <w:t xml:space="preserve">232</w:t>
      </w:r>
      <w:r>
        <w:t xml:space="preserve">, 264–270 (2019).</w:t>
      </w:r>
    </w:p>
    <w:p>
      <w:pPr>
        <w:pStyle w:val="BodyText"/>
      </w:pPr>
      <w:r>
        <w:t xml:space="preserve">3.W.Bidlingmaier.</w:t>
      </w:r>
      <w:r>
        <w:t xml:space="preserve"> </w:t>
      </w:r>
      <w:r>
        <w:t xml:space="preserve">Odour emissions from composting plants</w:t>
      </w:r>
      <w:r>
        <w:t xml:space="preserve">. in</w:t>
      </w:r>
      <w:r>
        <w:t xml:space="preserve"> </w:t>
      </w:r>
      <w:r>
        <w:rPr>
          <w:i/>
        </w:rPr>
        <w:t xml:space="preserve">The Science of Composting and Springer Netherlands</w:t>
      </w:r>
      <w:r>
        <w:t xml:space="preserve"> </w:t>
      </w:r>
      <w:r>
        <w:t xml:space="preserve">(1996).</w:t>
      </w:r>
    </w:p>
    <w:p>
      <w:pPr>
        <w:pStyle w:val="BodyText"/>
      </w:pPr>
      <w:r>
        <w:t xml:space="preserve">4.V.Belgiorno, V.Naddeo &amp; T.Zarra.</w:t>
      </w:r>
      <w:r>
        <w:t xml:space="preserve"> </w:t>
      </w:r>
      <w:r>
        <w:rPr>
          <w:i/>
        </w:rPr>
        <w:t xml:space="preserve">Odour Impact Assessment Handbook</w:t>
      </w:r>
      <w:r>
        <w:t xml:space="preserve">.</w:t>
      </w:r>
      <w:r>
        <w:t xml:space="preserve"> </w:t>
      </w:r>
      <w:r>
        <w:rPr>
          <w:i/>
        </w:rPr>
        <w:t xml:space="preserve">Wiley &amp; Son</w:t>
      </w:r>
      <w:r>
        <w:t xml:space="preserve"> </w:t>
      </w:r>
      <w:r>
        <w:t xml:space="preserve">(London. ISBN: 978-1-119-96928-0, 2012).</w:t>
      </w:r>
    </w:p>
    <w:p>
      <w:pPr>
        <w:pStyle w:val="BodyText"/>
      </w:pPr>
      <w:r>
        <w:t xml:space="preserve">5.C.A.Rincòn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Chemical and odor characterization of gas emissions released during composting of solid wastes and digestates</w:t>
      </w:r>
      <w:r>
        <w:t xml:space="preserve">.</w:t>
      </w:r>
      <w:r>
        <w:t xml:space="preserve"> </w:t>
      </w:r>
      <w:r>
        <w:rPr>
          <w:i/>
        </w:rPr>
        <w:t xml:space="preserve">Journal of Environmental Management</w:t>
      </w:r>
      <w:r>
        <w:t xml:space="preserve"> </w:t>
      </w:r>
      <w:r>
        <w:rPr>
          <w:b/>
        </w:rPr>
        <w:t xml:space="preserve">233</w:t>
      </w:r>
      <w:r>
        <w:t xml:space="preserve">, 39–53 (2019).</w:t>
      </w:r>
    </w:p>
    <w:p>
      <w:pPr>
        <w:pStyle w:val="BodyText"/>
      </w:pPr>
      <w:r>
        <w:t xml:space="preserve">6.T.Zarra, Naddeo, V., V.Belgiorno, M.Reiser &amp; M.Kranert.</w:t>
      </w:r>
      <w:r>
        <w:t xml:space="preserve"> </w:t>
      </w:r>
      <w:r>
        <w:t xml:space="preserve">Odour monitoring of small wastewater treatment plant located in sensitive environment</w:t>
      </w:r>
      <w:r>
        <w:t xml:space="preserve">.</w:t>
      </w:r>
      <w:r>
        <w:t xml:space="preserve"> </w:t>
      </w:r>
      <w:r>
        <w:rPr>
          <w:i/>
        </w:rPr>
        <w:t xml:space="preserve">Water Science and Technology</w:t>
      </w:r>
      <w:r>
        <w:t xml:space="preserve"> </w:t>
      </w:r>
      <w:r>
        <w:rPr>
          <w:b/>
        </w:rPr>
        <w:t xml:space="preserve">58</w:t>
      </w:r>
      <w:r>
        <w:t xml:space="preserve">, (2008).</w:t>
      </w:r>
    </w:p>
    <w:p>
      <w:pPr>
        <w:pStyle w:val="BodyText"/>
      </w:pPr>
      <w:r>
        <w:t xml:space="preserve">7.T.Zarra, V.Naddeo, G.Oliva &amp; V.Belgiorno.</w:t>
      </w:r>
      <w:r>
        <w:t xml:space="preserve"> </w:t>
      </w:r>
      <w:r>
        <w:t xml:space="preserve">Odour Emissions Characterization for Impact Prediction in Anaerobic-Aerobic Integrated Treatment Plants of Municipal Solid Waste</w:t>
      </w:r>
      <w:r>
        <w:t xml:space="preserve">.</w:t>
      </w:r>
      <w:r>
        <w:t xml:space="preserve"> </w:t>
      </w:r>
      <w:r>
        <w:rPr>
          <w:i/>
        </w:rPr>
        <w:t xml:space="preserve">Chemical Engineerin</w:t>
      </w:r>
      <w:r>
        <w:t xml:space="preserve"> </w:t>
      </w:r>
      <w:r>
        <w:rPr>
          <w:b/>
        </w:rPr>
        <w:t xml:space="preserve">54</w:t>
      </w:r>
      <w:r>
        <w:t xml:space="preserve">, (2016).</w:t>
      </w:r>
    </w:p>
    <w:p>
      <w:pPr>
        <w:pStyle w:val="BodyText"/>
      </w:pPr>
      <w:r>
        <w:t xml:space="preserve">8.L.Capelli, S.Sironi &amp; Rosso, R. D.</w:t>
      </w:r>
      <w:r>
        <w:t xml:space="preserve"> </w:t>
      </w:r>
      <w:r>
        <w:t xml:space="preserve">Odour Emission Factors: Fundamental Tools for Air Quality Management</w:t>
      </w:r>
      <w:r>
        <w:t xml:space="preserve">. in</w:t>
      </w:r>
      <w:r>
        <w:t xml:space="preserve"> </w:t>
      </w:r>
      <w:r>
        <w:rPr>
          <w:i/>
        </w:rPr>
        <w:t xml:space="preserve">Chemical Engineering Transactions</w:t>
      </w:r>
      <w:r>
        <w:t xml:space="preserve"> </w:t>
      </w:r>
      <w:r>
        <w:t xml:space="preserve">(</w:t>
      </w:r>
      <w:hyperlink r:id="rId29">
        <w:r>
          <w:rPr>
            <w:rStyle w:val="Hyperlink"/>
          </w:rPr>
          <w:t xml:space="preserve">http://doi.org/10.3303/CET1440033,</w:t>
        </w:r>
      </w:hyperlink>
      <w:r>
        <w:t xml:space="preserve"> </w:t>
      </w:r>
      <w:r>
        <w:t xml:space="preserve">2014).</w:t>
      </w:r>
    </w:p>
    <w:p>
      <w:pPr>
        <w:pStyle w:val="BodyText"/>
      </w:pPr>
      <w:r>
        <w:t xml:space="preserve">9.S.Sironi, L.Capelli, Centola, P., Rosso, R. D. &amp; Grande, M. I.</w:t>
      </w:r>
      <w:r>
        <w:t xml:space="preserve"> </w:t>
      </w:r>
      <w:r>
        <w:t xml:space="preserve">Odour emission factors for the prediction of odour emissions from plants for the mechanical and biological treatment of</w:t>
      </w:r>
      <w:r>
        <w:t xml:space="preserve"> </w:t>
      </w:r>
      <w:r>
        <w:t xml:space="preserve">MSW</w:t>
      </w:r>
      <w:r>
        <w:t xml:space="preserve">.</w:t>
      </w:r>
      <w:r>
        <w:t xml:space="preserve"> </w:t>
      </w:r>
      <w:r>
        <w:rPr>
          <w:i/>
        </w:rPr>
        <w:t xml:space="preserve">Atmospheric Environment</w:t>
      </w:r>
      <w:r>
        <w:t xml:space="preserve"> </w:t>
      </w:r>
      <w:r>
        <w:rPr>
          <w:b/>
        </w:rPr>
        <w:t xml:space="preserve">40</w:t>
      </w:r>
      <w:r>
        <w:t xml:space="preserve">, 7632–7643 (2006).</w:t>
      </w:r>
    </w:p>
    <w:p>
      <w:pPr>
        <w:pStyle w:val="BodyText"/>
      </w:pPr>
      <w:r>
        <w:t xml:space="preserve">10.E.Epstein.</w:t>
      </w:r>
      <w:r>
        <w:t xml:space="preserve"> </w:t>
      </w:r>
      <w:r>
        <w:t xml:space="preserve">The Science of Composting</w:t>
      </w:r>
      <w:r>
        <w:t xml:space="preserve">. in</w:t>
      </w:r>
      <w:r>
        <w:t xml:space="preserve"> </w:t>
      </w:r>
      <w:r>
        <w:rPr>
          <w:i/>
        </w:rPr>
        <w:t xml:space="preserve">Technomic Publishing Company</w:t>
      </w:r>
      <w:r>
        <w:t xml:space="preserve"> </w:t>
      </w:r>
      <w:r>
        <w:t xml:space="preserve">(Inc., Lancaster, PA, USA, 1997).</w:t>
      </w:r>
    </w:p>
    <w:p>
      <w:pPr>
        <w:pStyle w:val="BodyText"/>
      </w:pPr>
      <w:r>
        <w:t xml:space="preserve">11.S.Sironi, L.Capelli, Cèntola, P., Rosso, R. D. &amp; Grande, M. I.</w:t>
      </w:r>
      <w:r>
        <w:t xml:space="preserve"> </w:t>
      </w:r>
      <w:r>
        <w:t xml:space="preserve">Odour emission factors for assessment and prediction of Italian rendering plants odour impact</w:t>
      </w:r>
      <w:r>
        <w:t xml:space="preserve">.</w:t>
      </w:r>
      <w:r>
        <w:t xml:space="preserve"> </w:t>
      </w:r>
      <w:r>
        <w:rPr>
          <w:i/>
        </w:rPr>
        <w:t xml:space="preserve">Chemical Engineering Journal</w:t>
      </w:r>
      <w:r>
        <w:t xml:space="preserve"> </w:t>
      </w:r>
      <w:r>
        <w:rPr>
          <w:b/>
        </w:rPr>
        <w:t xml:space="preserve">131</w:t>
      </w:r>
      <w:r>
        <w:t xml:space="preserve">, 225–231 (2007).</w:t>
      </w:r>
    </w:p>
    <w:p>
      <w:pPr>
        <w:pStyle w:val="BodyText"/>
      </w:pPr>
      <w:r>
        <w:t xml:space="preserve">12.T.Zarra, M.Reiser, V.Naddeo, V.Belgiorno &amp; M.Kranert.</w:t>
      </w:r>
      <w:r>
        <w:t xml:space="preserve"> </w:t>
      </w:r>
      <w:r>
        <w:t xml:space="preserve">A comparative and critical evaluation of different sampling materials in the measurement of odour concentration by dynamic olfactometry</w:t>
      </w:r>
      <w:r>
        <w:t xml:space="preserve">.</w:t>
      </w:r>
      <w:r>
        <w:t xml:space="preserve"> </w:t>
      </w:r>
      <w:r>
        <w:rPr>
          <w:i/>
        </w:rPr>
        <w:t xml:space="preserve">Chemical Engineering Transactions</w:t>
      </w:r>
      <w:r>
        <w:t xml:space="preserve"> </w:t>
      </w:r>
      <w:r>
        <w:rPr>
          <w:b/>
        </w:rPr>
        <w:t xml:space="preserve">30</w:t>
      </w:r>
      <w:r>
        <w:t xml:space="preserve">, (2012).</w:t>
      </w:r>
    </w:p>
    <w:p>
      <w:pPr>
        <w:pStyle w:val="BodyText"/>
      </w:pPr>
      <w:r>
        <w:t xml:space="preserve">13.N.Hudson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Comparison of odour emission rates measured from various sources using two sampling devices</w:t>
      </w:r>
      <w:r>
        <w:t xml:space="preserve">.</w:t>
      </w:r>
      <w:r>
        <w:t xml:space="preserve"> </w:t>
      </w:r>
      <w:r>
        <w:rPr>
          <w:i/>
        </w:rPr>
        <w:t xml:space="preserve">Bioresource Technology</w:t>
      </w:r>
      <w:r>
        <w:t xml:space="preserve"> </w:t>
      </w:r>
      <w:r>
        <w:rPr>
          <w:b/>
        </w:rPr>
        <w:t xml:space="preserve">100</w:t>
      </w:r>
      <w:r>
        <w:t xml:space="preserve">, 118–124 (2009).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af78811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hyperlink" Id="rId29" Target="http://doi.org/10.3303/CET1440033,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9" Target="http://doi.org/10.3303/CET1440033,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Valutazione dell’impatto da odori negli impianti di trattamento dei rifiuti solidi urbani            </dc:title>
  <dc:creator>Massimo Noschese</dc:creator>
  <dcterms:created xsi:type="dcterms:W3CDTF">2020-03-31T14:29:23Z</dcterms:created>
  <dcterms:modified xsi:type="dcterms:W3CDTF">2020-03-31T14:29:23Z</dcterms:modified>
</cp:coreProperties>
</file>