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Biosparging:</w:t>
      </w:r>
      <w:r>
        <w:t xml:space="preserve"> </w:t>
      </w:r>
      <w:r>
        <w:t xml:space="preserve">efficacia</w:t>
      </w:r>
      <w:r>
        <w:t xml:space="preserve"> </w:t>
      </w:r>
      <w:r>
        <w:t xml:space="preserve">ed</w:t>
      </w:r>
      <w:r>
        <w:t xml:space="preserve"> </w:t>
      </w:r>
      <w:r>
        <w:t xml:space="preserve">economicità</w:t>
      </w:r>
      <w:r>
        <w:t xml:space="preserve"> </w:t>
      </w:r>
      <w:r>
        <w:t xml:space="preserve">per</w:t>
      </w:r>
      <w:r>
        <w:t xml:space="preserve"> </w:t>
      </w:r>
      <w:r>
        <w:t xml:space="preserve">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</w:t>
      </w:r>
      <w:r>
        <w:t xml:space="preserve"> </w:t>
      </w:r>
      <w:r>
        <w:t xml:space="preserve">da</w:t>
      </w:r>
      <w:r>
        <w:t xml:space="preserve"> </w:t>
      </w:r>
      <w:r>
        <w:t xml:space="preserve">idrocarburi            </w:t>
      </w:r>
    </w:p>
    <w:p>
      <w:pPr>
        <w:pStyle w:val="Author"/>
      </w:pPr>
      <w:r>
        <w:t xml:space="preserve">Rosanna</w:t>
      </w:r>
      <w:r>
        <w:t xml:space="preserve"> </w:t>
      </w:r>
      <w:r>
        <w:t xml:space="preserve">Feola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cattiva</w:t>
      </w:r>
      <w:r>
        <w:t xml:space="preserve"> </w:t>
      </w:r>
      <w:r>
        <w:t xml:space="preserve">gestione</w:t>
      </w:r>
      <w:r>
        <w:t xml:space="preserve"> </w:t>
      </w:r>
      <w:r>
        <w:t xml:space="preserve">delle</w:t>
      </w:r>
      <w:r>
        <w:t xml:space="preserve"> </w:t>
      </w:r>
      <w:r>
        <w:t xml:space="preserve">attività</w:t>
      </w:r>
      <w:r>
        <w:t xml:space="preserve"> </w:t>
      </w:r>
      <w:r>
        <w:t xml:space="preserve">antropiche</w:t>
      </w:r>
      <w:r>
        <w:t xml:space="preserve"> </w:t>
      </w:r>
      <w:r>
        <w:t xml:space="preserve">è</w:t>
      </w:r>
      <w:r>
        <w:t xml:space="preserve"> </w:t>
      </w:r>
      <w:r>
        <w:t xml:space="preserve">una</w:t>
      </w:r>
      <w:r>
        <w:t xml:space="preserve"> </w:t>
      </w:r>
      <w:r>
        <w:t xml:space="preserve">fra</w:t>
      </w:r>
      <w:r>
        <w:t xml:space="preserve"> </w:t>
      </w:r>
      <w:r>
        <w:t xml:space="preserve">le </w:t>
      </w:r>
      <w:r>
        <w:t xml:space="preserve"> </w:t>
      </w:r>
      <w:r>
        <w:t xml:space="preserve">principali</w:t>
      </w:r>
      <w:r>
        <w:t xml:space="preserve"> </w:t>
      </w:r>
      <w:r>
        <w:t xml:space="preserve">cause</w:t>
      </w:r>
      <w:r>
        <w:t xml:space="preserve"> </w:t>
      </w:r>
      <w:r>
        <w:t xml:space="preserve">della</w:t>
      </w:r>
      <w:r>
        <w:t xml:space="preserve"> </w:t>
      </w:r>
      <w:r>
        <w:t xml:space="preserve">contaminazione</w:t>
      </w:r>
      <w:r>
        <w:t xml:space="preserve"> </w:t>
      </w:r>
      <w:r>
        <w:t xml:space="preserve">delle</w:t>
      </w:r>
      <w:r>
        <w:t xml:space="preserve"> </w:t>
      </w:r>
      <w:r>
        <w:t xml:space="preserve">matrici</w:t>
      </w:r>
      <w:r>
        <w:t xml:space="preserve"> </w:t>
      </w:r>
      <w:r>
        <w:t xml:space="preserve">ambientali.</w:t>
      </w:r>
      <w:r>
        <w:t xml:space="preserve"> </w:t>
      </w:r>
      <w:r>
        <w:t xml:space="preserve">Negli</w:t>
      </w:r>
      <w:r>
        <w:t xml:space="preserve"> </w:t>
      </w:r>
      <w:r>
        <w:t xml:space="preserve">ultimi</w:t>
      </w:r>
      <w:r>
        <w:t xml:space="preserve"> </w:t>
      </w:r>
      <w:r>
        <w:t xml:space="preserve">anni,</w:t>
      </w:r>
      <w:r>
        <w:t xml:space="preserve"> </w:t>
      </w:r>
      <w:r>
        <w:t xml:space="preserve">Il</w:t>
      </w:r>
      <w:r>
        <w:t xml:space="preserve"> </w:t>
      </w:r>
      <w:r>
        <w:t xml:space="preserve">crescente</w:t>
      </w:r>
      <w:r>
        <w:t xml:space="preserve"> </w:t>
      </w:r>
      <w:r>
        <w:t xml:space="preserve">interesse</w:t>
      </w:r>
      <w:r>
        <w:t xml:space="preserve"> </w:t>
      </w:r>
      <w:r>
        <w:t xml:space="preserve">per</w:t>
      </w:r>
      <w:r>
        <w:t xml:space="preserve"> </w:t>
      </w:r>
      <w:r>
        <w:t xml:space="preserve">l’ambiente</w:t>
      </w:r>
      <w:r>
        <w:t xml:space="preserve"> </w:t>
      </w:r>
      <w:r>
        <w:t xml:space="preserve">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sostenibilità</w:t>
      </w:r>
      <w:r>
        <w:t xml:space="preserve"> </w:t>
      </w:r>
      <w:r>
        <w:t xml:space="preserve">ha</w:t>
      </w:r>
      <w:r>
        <w:t xml:space="preserve"> </w:t>
      </w:r>
      <w:r>
        <w:t xml:space="preserve">portato</w:t>
      </w:r>
      <w:r>
        <w:t xml:space="preserve"> </w:t>
      </w:r>
      <w:r>
        <w:t xml:space="preserve">alla</w:t>
      </w:r>
      <w:r>
        <w:t xml:space="preserve"> </w:t>
      </w:r>
      <w:r>
        <w:t xml:space="preserve">necessità</w:t>
      </w:r>
      <w:r>
        <w:t xml:space="preserve"> </w:t>
      </w:r>
      <w:r>
        <w:t xml:space="preserve">di</w:t>
      </w:r>
      <w:r>
        <w:t xml:space="preserve"> </w:t>
      </w:r>
      <w:r>
        <w:t xml:space="preserve">adottare</w:t>
      </w:r>
      <w:r>
        <w:t xml:space="preserve"> </w:t>
      </w:r>
      <w:r>
        <w:t xml:space="preserve">nuovi</w:t>
      </w:r>
      <w:r>
        <w:t xml:space="preserve"> </w:t>
      </w:r>
      <w:r>
        <w:t xml:space="preserve">approcci</w:t>
      </w:r>
      <w:r>
        <w:t xml:space="preserve"> </w:t>
      </w:r>
      <w:r>
        <w:t xml:space="preserve">e</w:t>
      </w:r>
      <w:r>
        <w:t xml:space="preserve"> </w:t>
      </w:r>
      <w:r>
        <w:t xml:space="preserve">favorire</w:t>
      </w:r>
      <w:r>
        <w:t xml:space="preserve"> </w:t>
      </w:r>
      <w:r>
        <w:t xml:space="preserve">la</w:t>
      </w:r>
      <w:r>
        <w:t xml:space="preserve"> </w:t>
      </w:r>
      <w:r>
        <w:t xml:space="preserve">bonifica</w:t>
      </w:r>
      <w:r>
        <w:t xml:space="preserve"> </w:t>
      </w:r>
      <w:r>
        <w:t xml:space="preserve">delle</w:t>
      </w:r>
      <w:r>
        <w:t xml:space="preserve"> </w:t>
      </w:r>
      <w:r>
        <w:t xml:space="preserve">matrici</w:t>
      </w:r>
      <w:r>
        <w:t xml:space="preserve"> </w:t>
      </w:r>
      <w:r>
        <w:t xml:space="preserve">ambientali.</w:t>
      </w:r>
      <w:r>
        <w:t xml:space="preserve"> </w:t>
      </w:r>
      <w:r>
        <w:t xml:space="preserve">Tra</w:t>
      </w:r>
      <w:r>
        <w:t xml:space="preserve"> </w:t>
      </w:r>
      <w:r>
        <w:t xml:space="preserve">i</w:t>
      </w:r>
      <w:r>
        <w:t xml:space="preserve"> </w:t>
      </w:r>
      <w:r>
        <w:t xml:space="preserve">processi</w:t>
      </w:r>
      <w:r>
        <w:t xml:space="preserve"> </w:t>
      </w:r>
      <w:r>
        <w:t xml:space="preserve">disponibili,</w:t>
      </w:r>
      <w:r>
        <w:t xml:space="preserve"> </w:t>
      </w:r>
      <w:r>
        <w:t xml:space="preserve">trova</w:t>
      </w:r>
      <w:r>
        <w:t xml:space="preserve"> </w:t>
      </w:r>
      <w:r>
        <w:t xml:space="preserve">applicazione</w:t>
      </w:r>
      <w:r>
        <w:t xml:space="preserve"> </w:t>
      </w:r>
      <w:r>
        <w:t xml:space="preserve">la </w:t>
      </w:r>
      <w:r>
        <w:rPr>
          <w:i/>
        </w:rPr>
        <w:t xml:space="preserve">bioremediation</w:t>
      </w:r>
      <w:r>
        <w:rPr>
          <w:i/>
        </w:rPr>
        <w:t xml:space="preserve"> </w:t>
      </w:r>
      <w:r>
        <w:rPr>
          <w:i/>
        </w:rPr>
        <w:t xml:space="preserve"> </w:t>
      </w:r>
      <w:r>
        <w:t xml:space="preserve">ed</w:t>
      </w:r>
      <w:r>
        <w:t xml:space="preserve"> </w:t>
      </w:r>
      <w:r>
        <w:t xml:space="preserve">in</w:t>
      </w:r>
      <w:r>
        <w:t xml:space="preserve"> </w:t>
      </w:r>
      <w:r>
        <w:t xml:space="preserve">particolare</w:t>
      </w:r>
      <w:r>
        <w:t xml:space="preserve"> </w:t>
      </w:r>
      <w:r>
        <w:t xml:space="preserve">il</w:t>
      </w:r>
      <w:r>
        <w:t xml:space="preserve"> </w:t>
      </w:r>
      <w:r>
        <w:t xml:space="preserve">biosparging</w:t>
      </w:r>
      <w:r>
        <w:t xml:space="preserve"> </w:t>
      </w:r>
      <w:r>
        <w:t xml:space="preserve">che,</w:t>
      </w:r>
      <w:r>
        <w:t xml:space="preserve"> </w:t>
      </w:r>
      <w:r>
        <w:t xml:space="preserve">tramite</w:t>
      </w:r>
      <w:r>
        <w:t xml:space="preserve"> </w:t>
      </w:r>
      <w:r>
        <w:t xml:space="preserve">processi</w:t>
      </w:r>
      <w:r>
        <w:t xml:space="preserve"> </w:t>
      </w:r>
      <w:r>
        <w:t xml:space="preserve">di</w:t>
      </w:r>
      <w:r>
        <w:t xml:space="preserve"> </w:t>
      </w:r>
      <w:r>
        <w:t xml:space="preserve">natura</w:t>
      </w:r>
      <w:r>
        <w:t xml:space="preserve"> </w:t>
      </w:r>
      <w:r>
        <w:t xml:space="preserve">biologica, </w:t>
      </w:r>
      <w:r>
        <w:t xml:space="preserve"> </w:t>
      </w:r>
      <w:r>
        <w:t xml:space="preserve">permette</w:t>
      </w:r>
      <w:r>
        <w:t xml:space="preserve"> </w:t>
      </w:r>
      <w:r>
        <w:t xml:space="preserve">la</w:t>
      </w:r>
      <w:r>
        <w:t xml:space="preserve"> </w:t>
      </w:r>
      <w:r>
        <w:t xml:space="preserve">degradazione</w:t>
      </w:r>
      <w:r>
        <w:t xml:space="preserve"> </w:t>
      </w:r>
      <w:r>
        <w:t xml:space="preserve">dei</w:t>
      </w:r>
      <w:r>
        <w:t xml:space="preserve"> </w:t>
      </w:r>
      <w:r>
        <w:t xml:space="preserve">composti</w:t>
      </w:r>
      <w:r>
        <w:t xml:space="preserve"> </w:t>
      </w:r>
      <w:r>
        <w:t xml:space="preserve">indesiderati</w:t>
      </w:r>
      <w:r>
        <w:t xml:space="preserve"> </w:t>
      </w:r>
      <w:r>
        <w:t xml:space="preserve">nell’ambiente.</w:t>
      </w:r>
      <w:r>
        <w:t xml:space="preserve"> </w:t>
      </w:r>
      <w:r>
        <w:t xml:space="preserve">Il</w:t>
      </w:r>
      <w:r>
        <w:t xml:space="preserve"> </w:t>
      </w:r>
      <w:r>
        <w:t xml:space="preserve">biosparging</w:t>
      </w:r>
      <w:r>
        <w:t xml:space="preserve"> </w:t>
      </w:r>
      <w:r>
        <w:t xml:space="preserve">è</w:t>
      </w:r>
      <w:r>
        <w:t xml:space="preserve"> </w:t>
      </w:r>
      <w:r>
        <w:t xml:space="preserve">particolarmente</w:t>
      </w:r>
      <w:r>
        <w:t xml:space="preserve"> </w:t>
      </w:r>
      <w:r>
        <w:t xml:space="preserve">adatto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rimozione</w:t>
      </w:r>
      <w:r>
        <w:t xml:space="preserve"> </w:t>
      </w:r>
      <w:r>
        <w:t xml:space="preserve">degli</w:t>
      </w:r>
      <w:r>
        <w:t xml:space="preserve"> </w:t>
      </w:r>
      <w:r>
        <w:t xml:space="preserve">idrocarburi.</w:t>
      </w:r>
      <w:r>
        <w:t xml:space="preserve"> </w:t>
      </w:r>
      <w:r>
        <w:t xml:space="preserve">Il</w:t>
      </w:r>
      <w:r>
        <w:t xml:space="preserve"> </w:t>
      </w:r>
      <w:r>
        <w:t xml:space="preserve">presente</w:t>
      </w:r>
      <w:r>
        <w:t xml:space="preserve"> </w:t>
      </w:r>
      <w:r>
        <w:t xml:space="preserve">studio</w:t>
      </w:r>
      <w:r>
        <w:t xml:space="preserve"> </w:t>
      </w:r>
      <w:r>
        <w:t xml:space="preserve">riporta</w:t>
      </w:r>
      <w:r>
        <w:t xml:space="preserve"> </w:t>
      </w:r>
      <w:r>
        <w:t xml:space="preserve">l’analisi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sito</w:t>
      </w:r>
      <w:r>
        <w:t xml:space="preserve"> </w:t>
      </w:r>
      <w:r>
        <w:t xml:space="preserve">contaminato</w:t>
      </w:r>
      <w:r>
        <w:t xml:space="preserve"> </w:t>
      </w:r>
      <w:r>
        <w:t xml:space="preserve">da</w:t>
      </w:r>
      <w:r>
        <w:t xml:space="preserve"> </w:t>
      </w:r>
      <w:r>
        <w:t xml:space="preserve">idrocarburi</w:t>
      </w:r>
      <w:r>
        <w:t xml:space="preserve"> </w:t>
      </w:r>
      <w:r>
        <w:t xml:space="preserve">policiclici</w:t>
      </w:r>
      <w:r>
        <w:t xml:space="preserve"> </w:t>
      </w:r>
      <w:r>
        <w:t xml:space="preserve">aromatici</w:t>
      </w:r>
      <w:r>
        <w:t xml:space="preserve"> </w:t>
      </w:r>
      <w:r>
        <w:t xml:space="preserve">(IPA)</w:t>
      </w:r>
      <w:r>
        <w:t xml:space="preserve"> </w:t>
      </w:r>
      <w:r>
        <w:t xml:space="preserve">e</w:t>
      </w:r>
      <w:r>
        <w:t xml:space="preserve"> </w:t>
      </w:r>
      <w:r>
        <w:t xml:space="preserve">idrocarburi</w:t>
      </w:r>
      <w:r>
        <w:t xml:space="preserve"> </w:t>
      </w:r>
      <w:r>
        <w:t xml:space="preserve">di</w:t>
      </w:r>
      <w:r>
        <w:t xml:space="preserve"> </w:t>
      </w:r>
      <w:r>
        <w:t xml:space="preserve">petrolio</w:t>
      </w:r>
      <w:r>
        <w:t xml:space="preserve"> </w:t>
      </w:r>
      <w:r>
        <w:t xml:space="preserve">(TPHs),</w:t>
      </w:r>
      <w:r>
        <w:t xml:space="preserve"> </w:t>
      </w:r>
      <w:r>
        <w:t xml:space="preserve">in</w:t>
      </w:r>
      <w:r>
        <w:t xml:space="preserve"> </w:t>
      </w:r>
      <w:r>
        <w:t xml:space="preserve">cui,</w:t>
      </w:r>
      <w:r>
        <w:t xml:space="preserve"> </w:t>
      </w:r>
      <w:r>
        <w:t xml:space="preserve">grazie</w:t>
      </w:r>
      <w:r>
        <w:t xml:space="preserve"> </w:t>
      </w:r>
      <w:r>
        <w:t xml:space="preserve">all’utilizzo</w:t>
      </w:r>
      <w:r>
        <w:t xml:space="preserve"> </w:t>
      </w:r>
      <w:r>
        <w:t xml:space="preserve">combinato</w:t>
      </w:r>
      <w:r>
        <w:t xml:space="preserve"> </w:t>
      </w:r>
      <w:r>
        <w:t xml:space="preserve">di</w:t>
      </w:r>
      <w:r>
        <w:t xml:space="preserve"> </w:t>
      </w:r>
      <w:r>
        <w:t xml:space="preserve">aria</w:t>
      </w:r>
      <w:r>
        <w:t xml:space="preserve"> </w:t>
      </w:r>
      <w:r>
        <w:t xml:space="preserve">e</w:t>
      </w:r>
      <w:r>
        <w:t xml:space="preserve"> </w:t>
      </w:r>
      <w:r>
        <w:t xml:space="preserve">specifici</w:t>
      </w:r>
      <w:r>
        <w:t xml:space="preserve"> </w:t>
      </w:r>
      <w:r>
        <w:t xml:space="preserve">bioattivatori</w:t>
      </w:r>
      <w:r>
        <w:t xml:space="preserve"> </w:t>
      </w:r>
      <w:r>
        <w:t xml:space="preserve">e</w:t>
      </w:r>
      <w:r>
        <w:t xml:space="preserve"> </w:t>
      </w:r>
      <w:r>
        <w:t xml:space="preserve">nutrienti,</w:t>
      </w:r>
      <w:r>
        <w:t xml:space="preserve"> </w:t>
      </w:r>
      <w:r>
        <w:t xml:space="preserve">si</w:t>
      </w:r>
      <w:r>
        <w:t xml:space="preserve"> </w:t>
      </w:r>
      <w:r>
        <w:t xml:space="preserve">sono</w:t>
      </w:r>
      <w:r>
        <w:t xml:space="preserve"> </w:t>
      </w:r>
      <w:r>
        <w:t xml:space="preserve">ottenute</w:t>
      </w:r>
      <w:r>
        <w:t xml:space="preserve"> </w:t>
      </w:r>
      <w:r>
        <w:t xml:space="preserve">alte</w:t>
      </w:r>
      <w:r>
        <w:t xml:space="preserve"> </w:t>
      </w:r>
      <w:r>
        <w:t xml:space="preserve">efficienze</w:t>
      </w:r>
      <w:r>
        <w:t xml:space="preserve"> </w:t>
      </w:r>
      <w:r>
        <w:t xml:space="preserve">di</w:t>
      </w:r>
      <w:r>
        <w:t xml:space="preserve"> </w:t>
      </w:r>
      <w:r>
        <w:t xml:space="preserve">abbattimento</w:t>
      </w:r>
      <w:r>
        <w:t xml:space="preserve"> </w:t>
      </w:r>
      <w:r>
        <w:t xml:space="preserve">sia</w:t>
      </w:r>
      <w:r>
        <w:t xml:space="preserve"> </w:t>
      </w:r>
      <w:r>
        <w:t xml:space="preserve">nel</w:t>
      </w:r>
      <w:r>
        <w:t xml:space="preserve"> </w:t>
      </w:r>
      <w:r>
        <w:t xml:space="preserve">terreno</w:t>
      </w:r>
      <w:r>
        <w:t xml:space="preserve"> </w:t>
      </w:r>
      <w:r>
        <w:t xml:space="preserve">che</w:t>
      </w:r>
      <w:r>
        <w:t xml:space="preserve"> </w:t>
      </w:r>
      <w:r>
        <w:t xml:space="preserve">in</w:t>
      </w:r>
      <w:r>
        <w:t xml:space="preserve"> </w:t>
      </w:r>
      <w:r>
        <w:t xml:space="preserve">falda.</w:t>
      </w:r>
      <w:r>
        <w:t xml:space="preserve"> </w:t>
      </w:r>
      <w:r>
        <w:t xml:space="preserve"> </w:t>
      </w:r>
    </w:p>
    <w:p>
      <w:pPr>
        <w:pStyle w:val="Heading1"/>
      </w:pPr>
      <w:bookmarkStart w:id="21" w:name="inquadramento-normativo-e-proposta-dintervento"/>
      <w:bookmarkEnd w:id="21"/>
      <w:r>
        <w:t xml:space="preserve">Inquadramento normativo e proposta</w:t>
      </w:r>
      <w:r>
        <w:t xml:space="preserve"> </w:t>
      </w:r>
      <w:r>
        <w:t xml:space="preserve">d’intervento</w:t>
      </w:r>
    </w:p>
    <w:p>
      <w:pPr>
        <w:pStyle w:val="FirstParagraph"/>
      </w:pPr>
      <w:r>
        <w:t xml:space="preserve">La presenza di attività commerciali ed industriali, lo smaltimento</w:t>
      </w:r>
      <w:r>
        <w:t xml:space="preserve"> </w:t>
      </w:r>
      <w:r>
        <w:t xml:space="preserve">incontrollato dei rifiuti, l’utilizzo sempre maggiore di fertilizzanti e</w:t>
      </w:r>
      <w:r>
        <w:t xml:space="preserve"> </w:t>
      </w:r>
      <w:r>
        <w:t xml:space="preserve">pesticidi in agricoltura sono la causa dell’alterazione delle</w:t>
      </w:r>
      <w:r>
        <w:t xml:space="preserve"> </w:t>
      </w:r>
      <w:r>
        <w:t xml:space="preserve">caratteristiche qualitative delle matrici ambientali, (Fig.1). Tale</w:t>
      </w:r>
      <w:r>
        <w:t xml:space="preserve"> </w:t>
      </w:r>
      <w:r>
        <w:t xml:space="preserve">alterazione nel suolo, sottosuolo e nelle acque sotterranee può</w:t>
      </w:r>
      <w:r>
        <w:t xml:space="preserve"> </w:t>
      </w:r>
      <w:r>
        <w:t xml:space="preserve">rappresentare un rischio per la salute umana; diventa dunque</w:t>
      </w:r>
      <w:r>
        <w:t xml:space="preserve"> </w:t>
      </w:r>
      <w:r>
        <w:t xml:space="preserve">fondamentale agire prontamente ed attuare trattamenti di</w:t>
      </w:r>
      <w:r>
        <w:t xml:space="preserve"> </w:t>
      </w:r>
      <w:r>
        <w:t xml:space="preserve">bonifica </w:t>
      </w:r>
      <w:r>
        <w:rPr>
          <w:vertAlign w:val="superscript"/>
        </w:rPr>
        <w:t xml:space="preserve">1</w:t>
      </w:r>
      <w:r>
        <w:t xml:space="preserve">. L’European Commission Joint Research Centre</w:t>
      </w:r>
      <w:r>
        <w:t xml:space="preserve"> </w:t>
      </w:r>
      <w:r>
        <w:t xml:space="preserve">ha eseguito diversi studi per quantificare il numero di siti europei</w:t>
      </w:r>
      <w:r>
        <w:t xml:space="preserve"> </w:t>
      </w:r>
      <w:r>
        <w:t xml:space="preserve">contaminati o potenzialmente contaminati e le principali fonti di</w:t>
      </w:r>
      <w:r>
        <w:t xml:space="preserve"> </w:t>
      </w:r>
      <w:r>
        <w:t xml:space="preserve">contaminazione </w:t>
      </w:r>
      <w:r>
        <w:rPr>
          <w:vertAlign w:val="superscript"/>
        </w:rPr>
        <w:t xml:space="preserve">2</w:t>
      </w:r>
      <w:r>
        <w:t xml:space="preserve">. In Italia,  l’attuale riferimento</w:t>
      </w:r>
      <w:r>
        <w:t xml:space="preserve"> </w:t>
      </w:r>
      <w:r>
        <w:t xml:space="preserve">normativo è il D.lgs. 152/2006 che alle parte IV, titolo V stabilisce</w:t>
      </w:r>
      <w:r>
        <w:t xml:space="preserve"> </w:t>
      </w:r>
      <w:r>
        <w:t xml:space="preserve">procedure, criteri e modalità di bonifica, e inoltre distingue i siti</w:t>
      </w:r>
      <w:r>
        <w:t xml:space="preserve"> </w:t>
      </w:r>
      <w:r>
        <w:t xml:space="preserve">potenzialmente contaminati dai siti contaminati. Quando la</w:t>
      </w:r>
      <w:r>
        <w:t xml:space="preserve"> </w:t>
      </w:r>
      <w:r>
        <w:t xml:space="preserve">concentrazione di almeno uno dei contaminanti supera la concentrazione</w:t>
      </w:r>
      <w:r>
        <w:t xml:space="preserve"> </w:t>
      </w:r>
      <w:r>
        <w:t xml:space="preserve">soglia di contaminazione Csc, il sito è definito potenzialmente</w:t>
      </w:r>
      <w:r>
        <w:t xml:space="preserve"> </w:t>
      </w:r>
      <w:r>
        <w:t xml:space="preserve">contaminato ed è quindi necessaria una caratterizzazione e un’analisi di</w:t>
      </w:r>
      <w:r>
        <w:t xml:space="preserve"> </w:t>
      </w:r>
      <w:r>
        <w:t xml:space="preserve">rischio sito specifica; nel caso di superamento anche delle</w:t>
      </w:r>
      <w:r>
        <w:t xml:space="preserve"> </w:t>
      </w:r>
      <w:r>
        <w:t xml:space="preserve">concentrazioni soglia di rischio Csr, il sito è detto contaminato ed è</w:t>
      </w:r>
      <w:r>
        <w:t xml:space="preserve"> </w:t>
      </w:r>
      <w:r>
        <w:t xml:space="preserve">pertanto necessaria la messa in sicurezza e/o la bonifica. Nel caso</w:t>
      </w:r>
      <w:r>
        <w:t xml:space="preserve"> </w:t>
      </w:r>
      <w:r>
        <w:t xml:space="preserve">studio che si presenterà, in particolare, si è riscontrata la</w:t>
      </w:r>
      <w:r>
        <w:t xml:space="preserve"> </w:t>
      </w:r>
      <w:r>
        <w:t xml:space="preserve">contaminazione da idrocarburi leggeri e pesanti nel terreno, e da BTEX</w:t>
      </w:r>
      <w:r>
        <w:t xml:space="preserve"> </w:t>
      </w:r>
      <w:r>
        <w:t xml:space="preserve">(Benzene, Toluene, Etilbenzene e Xilene) e IPA (idrocarburi policiclici</w:t>
      </w:r>
      <w:r>
        <w:t xml:space="preserve"> </w:t>
      </w:r>
      <w:r>
        <w:t xml:space="preserve">aromatici) nelle acque sotterranee limitrofe al sito </w:t>
      </w:r>
      <w:r>
        <w:rPr>
          <w:vertAlign w:val="superscript"/>
        </w:rPr>
        <w:t xml:space="preserve">3</w:t>
      </w:r>
      <w:r>
        <w:t xml:space="preserve">.</w:t>
      </w:r>
      <w:r>
        <w:t xml:space="preserve"> </w:t>
      </w:r>
      <w:r>
        <w:t xml:space="preserve">La contaminazione del sito è stata accertata dall’ARPA  locale, ed è</w:t>
      </w:r>
      <w:r>
        <w:t xml:space="preserve"> </w:t>
      </w:r>
      <w:r>
        <w:t xml:space="preserve">stata causata della rottura di una tubazione di adduzione di gasolio</w:t>
      </w:r>
      <w:r>
        <w:t xml:space="preserve"> </w:t>
      </w:r>
      <w:r>
        <w:t xml:space="preserve">presso un’area di rifornimento carburanti. Date le dimensioni contenute</w:t>
      </w:r>
      <w:r>
        <w:t xml:space="preserve"> </w:t>
      </w:r>
      <w:r>
        <w:t xml:space="preserve">dell’area, inferiori a 1000 m</w:t>
      </w:r>
      <w:r>
        <w:rPr>
          <w:vertAlign w:val="superscript"/>
        </w:rPr>
        <w:t xml:space="preserve">2</w:t>
      </w:r>
      <w:r>
        <w:t xml:space="preserve">, si è adottata una</w:t>
      </w:r>
      <w:r>
        <w:t xml:space="preserve"> </w:t>
      </w:r>
      <w:r>
        <w:t xml:space="preserve">procedura semplificata ai sensi dell’art. 249 D.Lgs 152/06 ed</w:t>
      </w:r>
      <w:r>
        <w:t xml:space="preserve"> </w:t>
      </w:r>
      <w:r>
        <w:t xml:space="preserve">individuati i limiti tabellari Csc, come obiettivi di bonifica. Sebbene</w:t>
      </w:r>
      <w:r>
        <w:t xml:space="preserve"> </w:t>
      </w:r>
      <w:r>
        <w:t xml:space="preserve">le possibilità di intervento siano molteplici </w:t>
      </w:r>
      <w:r>
        <w:rPr>
          <w:vertAlign w:val="superscript"/>
        </w:rPr>
        <w:t xml:space="preserve">4</w:t>
      </w:r>
      <w:r>
        <w:t xml:space="preserve">,</w:t>
      </w:r>
      <w:r>
        <w:t xml:space="preserve"> </w:t>
      </w:r>
      <w:r>
        <w:t xml:space="preserve"> </w:t>
      </w:r>
      <w:r>
        <w:rPr>
          <w:vertAlign w:val="superscript"/>
        </w:rPr>
        <w:t xml:space="preserve">5</w:t>
      </w:r>
      <w:r>
        <w:t xml:space="preserve">, al fine di privilegiare tecniche adeguate alle</w:t>
      </w:r>
      <w:r>
        <w:t xml:space="preserve"> </w:t>
      </w:r>
      <w:r>
        <w:t xml:space="preserve">caratteristiche del sito, che riducano in modo permanente la</w:t>
      </w:r>
      <w:r>
        <w:t xml:space="preserve"> </w:t>
      </w:r>
      <w:r>
        <w:t xml:space="preserve">contaminazione, che si possano applicare in situ in modo da ridurre la</w:t>
      </w:r>
      <w:r>
        <w:t xml:space="preserve"> </w:t>
      </w:r>
      <w:r>
        <w:t xml:space="preserve">movimentazione, e che minimizzino i costi di gestione a lungo termine è</w:t>
      </w:r>
      <w:r>
        <w:t xml:space="preserve"> </w:t>
      </w:r>
      <w:r>
        <w:t xml:space="preserve">stato adottato l’intervento del biosparging.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056912"/>
            <wp:effectExtent b="0" l="0" r="0" t="0"/>
            <wp:docPr descr="Contaminazione matrice ambientale " title="" id="1" name="Picture"/>
            <a:graphic>
              <a:graphicData uri="http://schemas.openxmlformats.org/drawingml/2006/picture">
                <pic:pic>
                  <pic:nvPicPr>
                    <pic:cNvPr descr="figures/gabriel-jimenez-jin4W1HqgL4-unsplash/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6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Contaminazione matrice ambientale</w:t>
      </w:r>
      <w:r>
        <w:t xml:space="preserve"> </w:t>
      </w:r>
    </w:p>
    <w:p>
      <w:pPr>
        <w:pStyle w:val="Heading1"/>
      </w:pPr>
      <w:bookmarkStart w:id="23" w:name="biosparging-tecnologia-e-applicazione"/>
      <w:bookmarkEnd w:id="23"/>
      <w:r>
        <w:t xml:space="preserve">Biosparging: tecnologia e</w:t>
      </w:r>
      <w:r>
        <w:t xml:space="preserve"> </w:t>
      </w:r>
      <w:r>
        <w:t xml:space="preserve">applicazione</w:t>
      </w:r>
    </w:p>
    <w:p>
      <w:pPr>
        <w:pStyle w:val="FirstParagraph"/>
      </w:pPr>
      <w:r>
        <w:t xml:space="preserve">Il biosparging è una tecnologia di bioremediation in situ che utilizza</w:t>
      </w:r>
      <w:r>
        <w:t xml:space="preserve"> </w:t>
      </w:r>
      <w:r>
        <w:t xml:space="preserve">microorganismi autoctoni per biodegradare i componenti organici nella</w:t>
      </w:r>
      <w:r>
        <w:t xml:space="preserve"> </w:t>
      </w:r>
      <w:r>
        <w:t xml:space="preserve">zona satura </w:t>
      </w:r>
      <w:r>
        <w:rPr>
          <w:vertAlign w:val="superscript"/>
        </w:rPr>
        <w:t xml:space="preserve">6</w:t>
      </w:r>
      <w:r>
        <w:t xml:space="preserve">. Essa consiste nell’iniezione di aria (o</w:t>
      </w:r>
      <w:r>
        <w:t xml:space="preserve"> </w:t>
      </w:r>
      <w:r>
        <w:t xml:space="preserve">ossigeno) e sostanze nutritive, se necessarie, per aumentare l’attività</w:t>
      </w:r>
      <w:r>
        <w:t xml:space="preserve"> </w:t>
      </w:r>
      <w:r>
        <w:t xml:space="preserve">biologica dei microrganismi presenti e favorire la biodegradazione di</w:t>
      </w:r>
      <w:r>
        <w:t xml:space="preserve"> </w:t>
      </w:r>
      <w:r>
        <w:t xml:space="preserve">alcuni contaminanti. Il biosparging è particolarmente adatto a ridurre</w:t>
      </w:r>
      <w:r>
        <w:t xml:space="preserve"> </w:t>
      </w:r>
      <w:r>
        <w:t xml:space="preserve">concentrazioni di componenti del petrolio disciolti nelle acque</w:t>
      </w:r>
      <w:r>
        <w:t xml:space="preserve"> </w:t>
      </w:r>
      <w:r>
        <w:t xml:space="preserve">sotterranee, nelle frange capillari  e adsorbite al terreno al di sotto</w:t>
      </w:r>
      <w:r>
        <w:t xml:space="preserve"> </w:t>
      </w:r>
      <w:r>
        <w:t xml:space="preserve">della falda</w:t>
      </w:r>
      <w:r>
        <w:t xml:space="preserve"> </w:t>
      </w:r>
      <w:r>
        <w:t xml:space="preserve">acquifera </w:t>
      </w:r>
      <w:r>
        <w:rPr>
          <w:vertAlign w:val="superscript"/>
        </w:rPr>
        <w:t xml:space="preserve">7</w:t>
      </w:r>
      <w:r>
        <w:t xml:space="preserve">, </w:t>
      </w:r>
      <w:r>
        <w:rPr>
          <w:vertAlign w:val="superscript"/>
        </w:rPr>
        <w:t xml:space="preserve">8</w:t>
      </w:r>
      <w:r>
        <w:t xml:space="preserve">, </w:t>
      </w:r>
      <w:r>
        <w:rPr>
          <w:vertAlign w:val="superscript"/>
        </w:rPr>
        <w:t xml:space="preserve">9</w:t>
      </w:r>
      <w:r>
        <w:t xml:space="preserve">.</w:t>
      </w:r>
      <w:r>
        <w:t xml:space="preserve"> </w:t>
      </w:r>
      <w:r>
        <w:t xml:space="preserve">Inoltre, in particolari condizioni, esso è efficace anche per la</w:t>
      </w:r>
      <w:r>
        <w:t xml:space="preserve"> </w:t>
      </w:r>
      <w:r>
        <w:t xml:space="preserve">rimozione di sostanze probabilmente cancerogene come</w:t>
      </w:r>
      <w:r>
        <w:t xml:space="preserve"> </w:t>
      </w:r>
      <w:r>
        <w:t xml:space="preserve">NDMA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e Diossano  1,4 </w:t>
      </w:r>
      <w:r>
        <w:rPr>
          <w:vertAlign w:val="superscript"/>
        </w:rPr>
        <w:t xml:space="preserve">11</w:t>
      </w:r>
      <w:r>
        <w:t xml:space="preserve">.  Per la zona</w:t>
      </w:r>
      <w:r>
        <w:t xml:space="preserve"> </w:t>
      </w:r>
      <w:r>
        <w:t xml:space="preserve">parzialmente satura, si adotta un processo analogo che prende il nome di</w:t>
      </w:r>
      <w:r>
        <w:t xml:space="preserve"> </w:t>
      </w:r>
      <w:r>
        <w:t xml:space="preserve">bioventing </w:t>
      </w:r>
      <w:r>
        <w:rPr>
          <w:vertAlign w:val="superscript"/>
        </w:rPr>
        <w:t xml:space="preserve">12</w:t>
      </w:r>
      <w:r>
        <w:t xml:space="preserve">,  </w:t>
      </w:r>
      <w:r>
        <w:rPr>
          <w:vertAlign w:val="superscript"/>
        </w:rPr>
        <w:t xml:space="preserve">13</w:t>
      </w:r>
      <w:r>
        <w:t xml:space="preserve">, </w:t>
      </w:r>
      <w:r>
        <w:rPr>
          <w:vertAlign w:val="superscript"/>
        </w:rPr>
        <w:t xml:space="preserve">14</w:t>
      </w:r>
      <w:r>
        <w:t xml:space="preserve">.</w:t>
      </w:r>
      <w:r>
        <w:t xml:space="preserve"> </w:t>
      </w:r>
      <w:r>
        <w:t xml:space="preserve">Il processo di biosparging è simile all’airsparging: entrambi prevedono</w:t>
      </w:r>
      <w:r>
        <w:t xml:space="preserve"> </w:t>
      </w:r>
      <w:r>
        <w:t xml:space="preserve">l’iniezione d’aria nel terreno, tuttavia, l’airsparging rimuove i</w:t>
      </w:r>
      <w:r>
        <w:t xml:space="preserve"> </w:t>
      </w:r>
      <w:r>
        <w:t xml:space="preserve">componenti favorendone la volatilizzazione, il biosparging ne promuove</w:t>
      </w:r>
      <w:r>
        <w:t xml:space="preserve"> </w:t>
      </w:r>
      <w:r>
        <w:t xml:space="preserve">la biodegradazione. In presenza di componenti volatili, il biosparging è</w:t>
      </w:r>
      <w:r>
        <w:t xml:space="preserve"> </w:t>
      </w:r>
      <w:r>
        <w:t xml:space="preserve">spesso combinato con il Soil Vapor Extraction, SVE, che, attraverso una</w:t>
      </w:r>
      <w:r>
        <w:t xml:space="preserve"> </w:t>
      </w:r>
      <w:r>
        <w:t xml:space="preserve">serie di pozzi di estrazione, genera una pressione negativa nella zona</w:t>
      </w:r>
      <w:r>
        <w:t xml:space="preserve"> </w:t>
      </w:r>
      <w:r>
        <w:t xml:space="preserve">parzialmente satura e li elimina.  </w:t>
      </w:r>
    </w:p>
    <w:p>
      <w:pPr>
        <w:pStyle w:val="BodyText"/>
      </w:pPr>
      <w:r>
        <w:t xml:space="preserve">Il biosparging è spesso utilizzato in siti contaminati da prodotti del</w:t>
      </w:r>
      <w:r>
        <w:t xml:space="preserve"> </w:t>
      </w:r>
      <w:r>
        <w:t xml:space="preserve">petrolio con peso molecolare medio (ad es. gasolio, carburante per jet);</w:t>
      </w:r>
      <w:r>
        <w:t xml:space="preserve"> </w:t>
      </w:r>
      <w:r>
        <w:t xml:space="preserve">invece per i prodotti petroliferi più leggeri (ad es. benzina), che</w:t>
      </w:r>
      <w:r>
        <w:t xml:space="preserve"> </w:t>
      </w:r>
      <w:r>
        <w:t xml:space="preserve">tendono ad essere rimossi più velocemente per volatilizzazione, si</w:t>
      </w:r>
      <w:r>
        <w:t xml:space="preserve"> </w:t>
      </w:r>
      <w:r>
        <w:t xml:space="preserve">applica l’airsparging. Per i prodotti più pesanti (ad es. Oli</w:t>
      </w:r>
      <w:r>
        <w:t xml:space="preserve"> </w:t>
      </w:r>
      <w:r>
        <w:t xml:space="preserve">lubrificanti) i tempi di biodegradazione sono maggiori, quindi bisogna</w:t>
      </w:r>
      <w:r>
        <w:t xml:space="preserve"> </w:t>
      </w:r>
      <w:r>
        <w:t xml:space="preserve">fare adeguate considerazioni in funzione degli obiettivi e dei costi di</w:t>
      </w:r>
      <w:r>
        <w:t xml:space="preserve"> </w:t>
      </w:r>
      <w:r>
        <w:t xml:space="preserve">bonifica.</w:t>
      </w:r>
    </w:p>
    <w:p>
      <w:pPr>
        <w:pStyle w:val="BodyText"/>
      </w:pPr>
      <w:r>
        <w:t xml:space="preserve">Il caso studio presentato riscontrata la contaminazione di 364</w:t>
      </w:r>
      <w:r>
        <w:t xml:space="preserve"> </w:t>
      </w:r>
      <w:r>
        <w:t xml:space="preserve">m</w:t>
      </w:r>
      <w:r>
        <w:rPr>
          <w:vertAlign w:val="superscript"/>
        </w:rPr>
        <w:t xml:space="preserve">2</w:t>
      </w:r>
      <w:r>
        <w:t xml:space="preserve"> </w:t>
      </w:r>
      <w:r>
        <w:t xml:space="preserve">della matrice suolo e sottosuolo e di 634</w:t>
      </w:r>
      <w:r>
        <w:t xml:space="preserve"> </w:t>
      </w:r>
      <w:r>
        <w:t xml:space="preserve">m</w:t>
      </w:r>
      <w:r>
        <w:rPr>
          <w:vertAlign w:val="superscript"/>
        </w:rPr>
        <w:t xml:space="preserve">2</w:t>
      </w:r>
      <w:r>
        <w:t xml:space="preserve"> </w:t>
      </w:r>
      <w:r>
        <w:t xml:space="preserve">della falda a causa della rottura di una tubazione</w:t>
      </w:r>
      <w:r>
        <w:t xml:space="preserve"> </w:t>
      </w:r>
      <w:r>
        <w:t xml:space="preserve">di adduzione di gasolio. Le concentrazioni sono risultate pari a 496</w:t>
      </w:r>
      <w:r>
        <w:t xml:space="preserve"> </w:t>
      </w:r>
      <w:r>
        <w:t xml:space="preserve">mg/kg di idrocarburi leggeri, 12024 mg/kg di idrocarburi pesanti e</w:t>
      </w:r>
      <w:r>
        <w:t xml:space="preserve"> </w:t>
      </w:r>
      <w:r>
        <w:t xml:space="preserve">671000 μg/l di idrocarburi totali. Definiti gli obiettivi della</w:t>
      </w:r>
      <w:r>
        <w:t xml:space="preserve"> </w:t>
      </w:r>
      <w:r>
        <w:t xml:space="preserve">bonifica, si è preferito il biosparging all’airsparging, in quanto</w:t>
      </w:r>
      <w:r>
        <w:t xml:space="preserve"> </w:t>
      </w:r>
      <w:r>
        <w:t xml:space="preserve">risulta essere particolarmente vantaggioso poché utilizza attrezzature</w:t>
      </w:r>
      <w:r>
        <w:t xml:space="preserve"> </w:t>
      </w:r>
      <w:r>
        <w:t xml:space="preserve">di semplice installazione, prevede bassi tempi di trattamento (da 6 a 24</w:t>
      </w:r>
      <w:r>
        <w:t xml:space="preserve"> </w:t>
      </w:r>
      <w:r>
        <w:t xml:space="preserve">mesi), costi competitivi, è eco-friendly ed essendo una tecnologia in</w:t>
      </w:r>
      <w:r>
        <w:t xml:space="preserve"> </w:t>
      </w:r>
      <w:r>
        <w:t xml:space="preserve">situ, crea minimo disturbo. Inoltre, a differenza dell’airsparging, ha</w:t>
      </w:r>
      <w:r>
        <w:t xml:space="preserve"> </w:t>
      </w:r>
      <w:r>
        <w:t xml:space="preserve">un campo maggiore di applicabilità e utilizza un minore flusso d’aria,</w:t>
      </w:r>
      <w:r>
        <w:t xml:space="preserve"> </w:t>
      </w:r>
      <w:r>
        <w:t xml:space="preserve">con conseguenti minori costi di trattamento dei vapori esausti. </w:t>
      </w:r>
    </w:p>
    <w:p>
      <w:pPr>
        <w:pStyle w:val="BodyText"/>
      </w:pPr>
      <w:r>
        <w:t xml:space="preserve">Affinché il processo di biosparging sia efficace, bisogna effettuare</w:t>
      </w:r>
      <w:r>
        <w:t xml:space="preserve"> </w:t>
      </w:r>
      <w:r>
        <w:t xml:space="preserve">diverse considerazioni. In una fase di screening iniziale è necessario</w:t>
      </w:r>
      <w:r>
        <w:t xml:space="preserve"> </w:t>
      </w:r>
      <w:r>
        <w:t xml:space="preserve">valutare la permeabilità del suolo e la biodegradabilità dei</w:t>
      </w:r>
      <w:r>
        <w:t xml:space="preserve"> </w:t>
      </w:r>
      <w:r>
        <w:t xml:space="preserve">contaminanti. I costituenti del petrolio sono generalmente</w:t>
      </w:r>
      <w:r>
        <w:t xml:space="preserve"> </w:t>
      </w:r>
      <w:r>
        <w:t xml:space="preserve">biodegradabili in presenza di un adeguato rifornimento di ossigeno,</w:t>
      </w:r>
      <w:r>
        <w:t xml:space="preserve"> </w:t>
      </w:r>
      <w:r>
        <w:t xml:space="preserve">invece maggiore attenzione deve essere posta per l’analisi della</w:t>
      </w:r>
      <w:r>
        <w:t xml:space="preserve"> </w:t>
      </w:r>
      <w:r>
        <w:t xml:space="preserve">stratificazione del suolo. La presenza di materiali a grana fine e</w:t>
      </w:r>
      <w:r>
        <w:t xml:space="preserve"> </w:t>
      </w:r>
      <w:r>
        <w:t xml:space="preserve">l’eterogeneità dei terreni causano un decremento dell’efficienza del</w:t>
      </w:r>
      <w:r>
        <w:t xml:space="preserve"> </w:t>
      </w:r>
      <w:r>
        <w:t xml:space="preserve">processo poiché ostacolano il flusso di aria. D’altro canto, la</w:t>
      </w:r>
      <w:r>
        <w:t xml:space="preserve"> </w:t>
      </w:r>
      <w:r>
        <w:t xml:space="preserve">permeabilità può anche essere ridotta a causa della presenza di ferro,</w:t>
      </w:r>
      <w:r>
        <w:t xml:space="preserve"> </w:t>
      </w:r>
      <w:r>
        <w:t xml:space="preserve">che precipita quando ossidato dall’ossigeno immesso. È poi fondamentale</w:t>
      </w:r>
      <w:r>
        <w:t xml:space="preserve"> </w:t>
      </w:r>
      <w:r>
        <w:t xml:space="preserve">valutare il tasso di crescita batterica che è funzione della temperatura</w:t>
      </w:r>
      <w:r>
        <w:t xml:space="preserve"> </w:t>
      </w:r>
      <w:r>
        <w:t xml:space="preserve">e del pH e cambia a seconda del tipo di microorganismi presenti nel</w:t>
      </w:r>
      <w:r>
        <w:t xml:space="preserve"> </w:t>
      </w:r>
      <w:r>
        <w:t xml:space="preserve">suolo. A tale proposito, risulta fondamentale prelevare campioni e fare</w:t>
      </w:r>
      <w:r>
        <w:t xml:space="preserve"> </w:t>
      </w:r>
      <w:r>
        <w:t xml:space="preserve">analisi di laboratorio, tenendo conto che la popolazione minima</w:t>
      </w:r>
      <w:r>
        <w:t xml:space="preserve"> </w:t>
      </w:r>
      <w:r>
        <w:t xml:space="preserve">necessaria affinché ci sia biodegradazione, è di 10</w:t>
      </w:r>
      <w:r>
        <w:rPr>
          <w:vertAlign w:val="superscript"/>
        </w:rPr>
        <w:t xml:space="preserve">3</w:t>
      </w:r>
      <w:r>
        <w:t xml:space="preserve"> </w:t>
      </w:r>
      <w:r>
        <w:t xml:space="preserve">UFC/g. Nel caso non fosse disponibile, potrebbero essere introdotte</w:t>
      </w:r>
      <w:r>
        <w:t xml:space="preserve"> </w:t>
      </w:r>
      <w:r>
        <w:t xml:space="preserve">colture microbiche ed anche nutrienti per favorire il processo e la</w:t>
      </w:r>
      <w:r>
        <w:t xml:space="preserve"> </w:t>
      </w:r>
      <w:r>
        <w:t xml:space="preserve">crescita cellulare. Nel caso in esame, per migliorare l’efficienza di</w:t>
      </w:r>
      <w:r>
        <w:t xml:space="preserve"> </w:t>
      </w:r>
      <w:r>
        <w:t xml:space="preserve">trattamento sono stati aggiunti microorganismi bioattivatori naturali e</w:t>
      </w:r>
      <w:r>
        <w:t xml:space="preserve"> </w:t>
      </w:r>
      <w:r>
        <w:t xml:space="preserve">specifici (conformi alla Classe 1 E.F.B.  e all’Allegato 3 alla parte IV</w:t>
      </w:r>
      <w:r>
        <w:t xml:space="preserve"> </w:t>
      </w:r>
      <w:r>
        <w:t xml:space="preserve">del D.lgs 152/2006) biofissati a supporti minerali (sali di dolomia e</w:t>
      </w:r>
      <w:r>
        <w:t xml:space="preserve"> </w:t>
      </w:r>
      <w:r>
        <w:t xml:space="preserve">mordenite) per aumentare i tempi di contatto </w:t>
      </w:r>
      <w:r>
        <w:rPr>
          <w:vertAlign w:val="superscript"/>
        </w:rPr>
        <w:t xml:space="preserve">15</w:t>
      </w:r>
      <w:r>
        <w:t xml:space="preserve">.</w:t>
      </w:r>
    </w:p>
    <w:p>
      <w:pPr>
        <w:pStyle w:val="BodyText"/>
      </w:pPr>
      <w:r>
        <w:t xml:space="preserve">Al fine di dimensionare il processo di biosparging è necessario fare</w:t>
      </w:r>
      <w:r>
        <w:t xml:space="preserve"> </w:t>
      </w:r>
      <w:r>
        <w:t xml:space="preserve">studi pilota. In questo modo, in funzione del raggio di influenza</w:t>
      </w:r>
      <w:r>
        <w:t xml:space="preserve"> </w:t>
      </w:r>
      <w:r>
        <w:t xml:space="preserve">(massima distanza alla quale il flusso d’aria arriva e favorisce la</w:t>
      </w:r>
      <w:r>
        <w:t xml:space="preserve"> </w:t>
      </w:r>
      <w:r>
        <w:t xml:space="preserve">biodegradazione) si determina il numero di punti in cui iniettare</w:t>
      </w:r>
      <w:r>
        <w:t xml:space="preserve"> </w:t>
      </w:r>
      <w:r>
        <w:t xml:space="preserve">l’aria, la sua portata e la sua pressione. È poi necessario definire</w:t>
      </w:r>
      <w:r>
        <w:t xml:space="preserve"> </w:t>
      </w:r>
      <w:r>
        <w:t xml:space="preserve">l’orientamento e il posizionamento dei pozzi, il tipo di tubazioni per</w:t>
      </w:r>
      <w:r>
        <w:t xml:space="preserve"> </w:t>
      </w:r>
      <w:r>
        <w:t xml:space="preserve">l’aria compressa, i compressori e l’attrezzatura per il controllo e il</w:t>
      </w:r>
      <w:r>
        <w:t xml:space="preserve"> </w:t>
      </w:r>
      <w:r>
        <w:t xml:space="preserve">monitoraggio. In questo caso, le iniezioni sono state effettuate sia in</w:t>
      </w:r>
      <w:r>
        <w:t xml:space="preserve"> </w:t>
      </w:r>
      <w:r>
        <w:t xml:space="preserve">verticale attraverso tubi piezometrici micro-fessurati distanziati l’un</w:t>
      </w:r>
      <w:r>
        <w:t xml:space="preserve"> </w:t>
      </w:r>
      <w:r>
        <w:t xml:space="preserve">l’altro di 10 m, sia in orizzontale (ad un metro di profondità) in</w:t>
      </w:r>
      <w:r>
        <w:t xml:space="preserve"> </w:t>
      </w:r>
      <w:r>
        <w:t xml:space="preserve">corrispondenza della zona con maggiore concentrazione di inquinanti. In</w:t>
      </w:r>
      <w:r>
        <w:t xml:space="preserve"> </w:t>
      </w:r>
      <w:r>
        <w:t xml:space="preserve">particolare, sono stati utilizzati 50 Kg di bioattivatore con 130 Kg di</w:t>
      </w:r>
      <w:r>
        <w:t xml:space="preserve"> </w:t>
      </w:r>
      <w:r>
        <w:t xml:space="preserve">nutrienti nei piezometri verticali e 20 Kg di bioattivatore con 60 Kg di</w:t>
      </w:r>
      <w:r>
        <w:t xml:space="preserve"> </w:t>
      </w:r>
      <w:r>
        <w:t xml:space="preserve">nutrienti nei tubi orizzontali. Negli stessi piezometri, è stata</w:t>
      </w:r>
      <w:r>
        <w:t xml:space="preserve"> </w:t>
      </w:r>
      <w:r>
        <w:t xml:space="preserve">iniettata aria a bassa pressione (1 bar) tramite una soffiante.</w:t>
      </w:r>
    </w:p>
    <w:p>
      <w:pPr>
        <w:pStyle w:val="BodyText"/>
      </w:pPr>
      <w:r>
        <w:t xml:space="preserve">Nella fase di start-up è fondamentale valutare la profondità della</w:t>
      </w:r>
      <w:r>
        <w:t xml:space="preserve"> </w:t>
      </w:r>
      <w:r>
        <w:t xml:space="preserve">falda, la pressione e i livelli di ossigeno disciolti per accertarsi che</w:t>
      </w:r>
      <w:r>
        <w:t xml:space="preserve"> </w:t>
      </w:r>
      <w:r>
        <w:t xml:space="preserve">le condizioni siamo ottimali. Successivamente, bisogna monitorare</w:t>
      </w:r>
      <w:r>
        <w:t xml:space="preserve"> </w:t>
      </w:r>
      <w:r>
        <w:t xml:space="preserve">settimanalmente i livelli dei contaminanti e quelli dell’ossigeno per</w:t>
      </w:r>
      <w:r>
        <w:t xml:space="preserve"> </w:t>
      </w:r>
      <w:r>
        <w:t xml:space="preserve">valutare l’efficienza del processo ed arrivare alle concentrazioni</w:t>
      </w:r>
      <w:r>
        <w:t xml:space="preserve"> </w:t>
      </w:r>
      <w:r>
        <w:t xml:space="preserve">desiderate. Nel caso specifico, si sono eseguiti controlli dopo 30, 90 e</w:t>
      </w:r>
      <w:r>
        <w:t xml:space="preserve"> </w:t>
      </w:r>
      <w:r>
        <w:t xml:space="preserve">180 giorni dall’inoculo sia nella matrice suolo e sottosuolo che nella</w:t>
      </w:r>
      <w:r>
        <w:t xml:space="preserve"> </w:t>
      </w:r>
      <w:r>
        <w:t xml:space="preserve">falda. Una volta rientrati nei valori delle Csc, si è proceduti al</w:t>
      </w:r>
      <w:r>
        <w:t xml:space="preserve"> </w:t>
      </w:r>
      <w:r>
        <w:t xml:space="preserve">collaudo finale ed al monitoraggio semestrale (per una durata totale di</w:t>
      </w:r>
      <w:r>
        <w:t xml:space="preserve"> </w:t>
      </w:r>
      <w:r>
        <w:t xml:space="preserve">24 mesi) per valutare la conformità degli obiettivi di bonifica.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4" w:name="section"/>
      <w:bookmarkEnd w:id="24"/>
    </w:p>
    <w:p>
      <w:pPr>
        <w:pStyle w:val="Heading2"/>
      </w:pPr>
      <w:bookmarkStart w:id="25" w:name="conclusioni"/>
      <w:bookmarkEnd w:id="25"/>
      <w:r>
        <w:t xml:space="preserve">Conclusioni</w:t>
      </w:r>
    </w:p>
    <w:p>
      <w:pPr>
        <w:pStyle w:val="FirstParagraph"/>
      </w:pPr>
      <w:r>
        <w:t xml:space="preserve">In conclusione, il biosparging ha consentito il raggiungimento di ottimi</w:t>
      </w:r>
      <w:r>
        <w:t xml:space="preserve"> </w:t>
      </w:r>
      <w:r>
        <w:t xml:space="preserve">risultati di abbattimento dei contaminanti sia per il terreno che per la</w:t>
      </w:r>
      <w:r>
        <w:t xml:space="preserve"> </w:t>
      </w:r>
      <w:r>
        <w:t xml:space="preserve">falda. In particolare, la riduzione di idrocarburi leggeri, toluene e</w:t>
      </w:r>
      <w:r>
        <w:t xml:space="preserve"> </w:t>
      </w:r>
      <w:r>
        <w:t xml:space="preserve">benzoatracene al di sotto dei limiti normativi, si è registrata dopo</w:t>
      </w:r>
      <w:r>
        <w:t xml:space="preserve"> </w:t>
      </w:r>
      <w:r>
        <w:t xml:space="preserve">soli trenta giorni dall’inizio del trattamento; gli idrocarburi pesanti</w:t>
      </w:r>
      <w:r>
        <w:t xml:space="preserve"> </w:t>
      </w:r>
      <w:r>
        <w:t xml:space="preserve">e gli idrocarburi totali, invece hanno necessitato rispettivamente di</w:t>
      </w:r>
      <w:r>
        <w:t xml:space="preserve"> </w:t>
      </w:r>
      <w:r>
        <w:t xml:space="preserve">novanta e centottanta giorni. In definitiva, i valori delle</w:t>
      </w:r>
      <w:r>
        <w:t xml:space="preserve"> </w:t>
      </w:r>
      <w:r>
        <w:t xml:space="preserve">concentrazioni al collaudo sono risultati ben al di sotto dei limiti</w:t>
      </w:r>
      <w:r>
        <w:t xml:space="preserve"> </w:t>
      </w:r>
      <w:r>
        <w:t xml:space="preserve">normativi nonostante i tempi rapidi. Questi risultati confermano</w:t>
      </w:r>
      <w:r>
        <w:t xml:space="preserve"> </w:t>
      </w:r>
      <w:r>
        <w:t xml:space="preserve">l’efficienza del processo di biosparging e rappresentano un’opportunità</w:t>
      </w:r>
      <w:r>
        <w:t xml:space="preserve"> </w:t>
      </w:r>
      <w:r>
        <w:t xml:space="preserve">per le prossime applicazioni di </w:t>
      </w:r>
      <w:r>
        <w:rPr>
          <w:i/>
        </w:rPr>
        <w:t xml:space="preserve">bioremediation</w:t>
      </w:r>
      <w:r>
        <w:t xml:space="preserve"> </w:t>
      </w:r>
      <w:r>
        <w:t xml:space="preserve">di siti</w:t>
      </w:r>
      <w:r>
        <w:t xml:space="preserve"> </w:t>
      </w:r>
      <w:r>
        <w:t xml:space="preserve">contaminati.</w:t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r>
        <w:t xml:space="preserve">1.Carrè, F.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Soil Contamination and Human Health: A Major Challenge for Global Soil Security</w:t>
      </w:r>
      <w:r>
        <w:t xml:space="preserve">. in</w:t>
      </w:r>
      <w:r>
        <w:t xml:space="preserve"> </w:t>
      </w:r>
      <w:r>
        <w:rPr>
          <w:i/>
        </w:rPr>
        <w:t xml:space="preserve">Progress in Soil Science</w:t>
      </w:r>
      <w:r>
        <w:t xml:space="preserve"> </w:t>
      </w:r>
      <w:r>
        <w:t xml:space="preserve">275–295 (Springer International Publishing, 2017). doi:10.1007/978-3-319-43394-3_25.</w:t>
      </w:r>
    </w:p>
    <w:p>
      <w:pPr>
        <w:pStyle w:val="BodyText"/>
      </w:pPr>
      <w:r>
        <w:t xml:space="preserve">2.Panagos, P., Liedekerke, M. V., Yigini, Y. &amp; Montanarella, L.</w:t>
      </w:r>
      <w:r>
        <w:t xml:space="preserve"> </w:t>
      </w:r>
      <w:r>
        <w:t xml:space="preserve">Contaminated Sites in Europe: Review of the Current Situation Based on Data Collected through a European Network</w:t>
      </w:r>
      <w:r>
        <w:t xml:space="preserve">.</w:t>
      </w:r>
      <w:r>
        <w:t xml:space="preserve"> </w:t>
      </w:r>
      <w:r>
        <w:rPr>
          <w:i/>
        </w:rPr>
        <w:t xml:space="preserve">Journal of Environmental and Public Health</w:t>
      </w:r>
      <w:r>
        <w:t xml:space="preserve"> </w:t>
      </w:r>
      <w:r>
        <w:rPr>
          <w:b/>
        </w:rPr>
        <w:t xml:space="preserve">2013</w:t>
      </w:r>
      <w:r>
        <w:t xml:space="preserve">, 1–11 (2013).</w:t>
      </w:r>
    </w:p>
    <w:p>
      <w:pPr>
        <w:pStyle w:val="BodyText"/>
      </w:pPr>
      <w:r>
        <w:t xml:space="preserve">3.Brignoli, P., Martino, M. D. &amp; Gagliardi, G.</w:t>
      </w:r>
      <w:r>
        <w:t xml:space="preserve"> </w:t>
      </w:r>
      <w:r>
        <w:t xml:space="preserve">Bioventing e Biosparging in area contaminata da TPH e PAHs</w:t>
      </w:r>
      <w:r>
        <w:t xml:space="preserve">. in</w:t>
      </w:r>
      <w:r>
        <w:t xml:space="preserve"> </w:t>
      </w:r>
      <w:r>
        <w:rPr>
          <w:i/>
        </w:rPr>
        <w:t xml:space="preserve">SiCon 2014 Workshop su: Siti Contaminati. Esperienze negli interventi di risanamento</w:t>
      </w:r>
      <w:r>
        <w:t xml:space="preserve"> </w:t>
      </w:r>
      <w:r>
        <w:t xml:space="preserve">(2014).</w:t>
      </w:r>
    </w:p>
    <w:p>
      <w:pPr>
        <w:pStyle w:val="BodyText"/>
      </w:pPr>
      <w:r>
        <w:t xml:space="preserve">4.Chaineau, C. H., Yepremian, C., Vidalie, J. F., Ducreux, J. &amp; Ballerini, D.</w:t>
      </w:r>
      <w:r>
        <w:t xml:space="preserve"> </w:t>
      </w:r>
      <w:r>
        <w:t xml:space="preserve">Bioremediation of a Crude Oil-Polluted Soil: Biodegradation, Leaching and Toxicity Assessments</w:t>
      </w:r>
      <w:r>
        <w:t xml:space="preserve">.</w:t>
      </w:r>
      <w:r>
        <w:t xml:space="preserve"> </w:t>
      </w:r>
      <w:r>
        <w:rPr>
          <w:i/>
        </w:rPr>
        <w:t xml:space="preserve">Water Air, and Soil Pollution</w:t>
      </w:r>
      <w:r>
        <w:t xml:space="preserve"> </w:t>
      </w:r>
      <w:r>
        <w:rPr>
          <w:b/>
        </w:rPr>
        <w:t xml:space="preserve">144</w:t>
      </w:r>
      <w:r>
        <w:t xml:space="preserve">, 419–440 (2003).</w:t>
      </w:r>
    </w:p>
    <w:p>
      <w:pPr>
        <w:pStyle w:val="BodyText"/>
      </w:pPr>
      <w:r>
        <w:t xml:space="preserve">5.Cappucci, S., Carloni, A. &amp; Maffucci, M.</w:t>
      </w:r>
      <w:r>
        <w:t xml:space="preserve"> </w:t>
      </w:r>
      <w:r>
        <w:rPr>
          <w:i/>
        </w:rPr>
        <w:t xml:space="preserve">Tecnologie per la bonifica e riqualificazione</w:t>
      </w:r>
      <w:r>
        <w:t xml:space="preserve">.</w:t>
      </w:r>
      <w:r>
        <w:t xml:space="preserve"> </w:t>
      </w:r>
      <w:r>
        <w:rPr>
          <w:i/>
        </w:rPr>
        <w:t xml:space="preserve">SOSTENIBILITÀ DEI SISTEMI PRODUTTIVI - Strumenti e tecnologie verso la green economy</w:t>
      </w:r>
      <w:r>
        <w:t xml:space="preserve"> </w:t>
      </w:r>
      <w:r>
        <w:t xml:space="preserve">vol. 8 337–363 (Enea, 2012).</w:t>
      </w:r>
    </w:p>
    <w:p>
      <w:pPr>
        <w:pStyle w:val="BodyText"/>
      </w:pPr>
      <w:r>
        <w:t xml:space="preserve">6.Azubuike, C. C., Chikere, C. B. &amp; Okpokwasili, G. C.</w:t>
      </w:r>
      <w:r>
        <w:t xml:space="preserve"> </w:t>
      </w:r>
      <w:r>
        <w:t xml:space="preserve">Bioremediation techniquesclassification based on site of application: principles advantages, limitations and prospects</w:t>
      </w:r>
      <w:r>
        <w:t xml:space="preserve">.</w:t>
      </w:r>
      <w:r>
        <w:t xml:space="preserve"> </w:t>
      </w:r>
      <w:r>
        <w:rPr>
          <w:i/>
        </w:rPr>
        <w:t xml:space="preserve">World Journal of Microbiology and Biotechnology</w:t>
      </w:r>
      <w:r>
        <w:t xml:space="preserve"> </w:t>
      </w:r>
      <w:r>
        <w:rPr>
          <w:b/>
        </w:rPr>
        <w:t xml:space="preserve">32</w:t>
      </w:r>
      <w:r>
        <w:t xml:space="preserve">, (2016).</w:t>
      </w:r>
    </w:p>
    <w:p>
      <w:pPr>
        <w:pStyle w:val="BodyText"/>
      </w:pPr>
      <w:r>
        <w:t xml:space="preserve">7.Kao, C. M., Chen, C. Y., Chen, S. C., Chien, H. Y. &amp; Chen, Y. L.</w:t>
      </w:r>
      <w:r>
        <w:t xml:space="preserve"> </w:t>
      </w:r>
      <w:r>
        <w:t xml:space="preserve">Application of in situ biosparging to remediate a petroleum-hydrocarbon spill site: Field and microbial evaluation</w:t>
      </w:r>
      <w:r>
        <w:t xml:space="preserve">.</w:t>
      </w:r>
      <w:r>
        <w:t xml:space="preserve"> </w:t>
      </w:r>
      <w:r>
        <w:rPr>
          <w:i/>
        </w:rPr>
        <w:t xml:space="preserve">Chemosphere</w:t>
      </w:r>
      <w:r>
        <w:t xml:space="preserve"> </w:t>
      </w:r>
      <w:r>
        <w:rPr>
          <w:b/>
        </w:rPr>
        <w:t xml:space="preserve">70</w:t>
      </w:r>
      <w:r>
        <w:t xml:space="preserve">, 1492–1499 (2008).</w:t>
      </w:r>
    </w:p>
    <w:p>
      <w:pPr>
        <w:pStyle w:val="BodyText"/>
      </w:pPr>
      <w:r>
        <w:t xml:space="preserve">8.Machackova, J., Wittlingerova, Z., Vlk, K. &amp; Zima, J.</w:t>
      </w:r>
      <w:r>
        <w:t xml:space="preserve"> </w:t>
      </w:r>
      <w:r>
        <w:t xml:space="preserve">Major factors affecting in situ biodegradation rates of jet-fuel during large-scale biosparging project in sedimentary bedrock</w:t>
      </w:r>
      <w:r>
        <w:t xml:space="preserve">.</w:t>
      </w:r>
      <w:r>
        <w:t xml:space="preserve"> </w:t>
      </w:r>
      <w:r>
        <w:rPr>
          <w:i/>
        </w:rPr>
        <w:t xml:space="preserve">Journal of Environmental Science and Health Part A</w:t>
      </w:r>
      <w:r>
        <w:t xml:space="preserve"> </w:t>
      </w:r>
      <w:r>
        <w:rPr>
          <w:b/>
        </w:rPr>
        <w:t xml:space="preserve">47</w:t>
      </w:r>
      <w:r>
        <w:t xml:space="preserve">, 1152–1165 (2012).</w:t>
      </w:r>
    </w:p>
    <w:p>
      <w:pPr>
        <w:pStyle w:val="BodyText"/>
      </w:pPr>
      <w:r>
        <w:t xml:space="preserve">9.Khudur, L. S.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Evaluating the efficacy of bioremediating a diesel-contaminated soil using ecotoxicological and bacterial community indices</w:t>
      </w:r>
      <w:r>
        <w:t xml:space="preserve">.</w:t>
      </w:r>
      <w:r>
        <w:t xml:space="preserve"> </w:t>
      </w:r>
      <w:r>
        <w:rPr>
          <w:i/>
        </w:rPr>
        <w:t xml:space="preserve">Environmental Science and Pollution Research</w:t>
      </w:r>
      <w:r>
        <w:t xml:space="preserve"> </w:t>
      </w:r>
      <w:r>
        <w:rPr>
          <w:b/>
        </w:rPr>
        <w:t xml:space="preserve">22</w:t>
      </w:r>
      <w:r>
        <w:t xml:space="preserve">, 14809–14819 (2015).</w:t>
      </w:r>
    </w:p>
    <w:p>
      <w:pPr>
        <w:pStyle w:val="BodyText"/>
      </w:pPr>
      <w:r>
        <w:t xml:space="preserve">10.Hatzinger, P. B. &amp; Lippincott, D. R.</w:t>
      </w:r>
      <w:r>
        <w:t xml:space="preserve"> </w:t>
      </w:r>
      <w:r>
        <w:t xml:space="preserve">Field demonstration of N-Nitrosodimethylamine (</w:t>
      </w:r>
      <w:r>
        <w:t xml:space="preserve">NDMA</w:t>
      </w:r>
      <w:r>
        <w:t xml:space="preserve">) treatment in groundwater using propane biosparging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164</w:t>
      </w:r>
      <w:r>
        <w:t xml:space="preserve">, 114923 (2019).</w:t>
      </w:r>
    </w:p>
    <w:p>
      <w:pPr>
        <w:pStyle w:val="BodyText"/>
      </w:pPr>
      <w:r>
        <w:t xml:space="preserve">11.Lippincott, D.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Bioaugmentation and Propane Biosparging for In Situ Biodegradation of 1,4-Dioxane</w:t>
      </w:r>
      <w:r>
        <w:t xml:space="preserve">.</w:t>
      </w:r>
      <w:r>
        <w:t xml:space="preserve"> </w:t>
      </w:r>
      <w:r>
        <w:rPr>
          <w:i/>
        </w:rPr>
        <w:t xml:space="preserve">Groundwater Monitoring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Remediation</w:t>
      </w:r>
      <w:r>
        <w:t xml:space="preserve"> </w:t>
      </w:r>
      <w:r>
        <w:rPr>
          <w:b/>
        </w:rPr>
        <w:t xml:space="preserve">35</w:t>
      </w:r>
      <w:r>
        <w:t xml:space="preserve">, 81–92 (2015).</w:t>
      </w:r>
    </w:p>
    <w:p>
      <w:pPr>
        <w:pStyle w:val="BodyText"/>
      </w:pPr>
      <w:r>
        <w:t xml:space="preserve">12.Sui, H. &amp; Li, X.</w:t>
      </w:r>
      <w:r>
        <w:t xml:space="preserve"> </w:t>
      </w:r>
      <w:r>
        <w:t xml:space="preserve">Modeling for Volatilization and Bioremediation of Toluene-contaminated Soil by Bioventing</w:t>
      </w:r>
      <w:r>
        <w:t xml:space="preserve">.</w:t>
      </w:r>
      <w:r>
        <w:t xml:space="preserve"> </w:t>
      </w:r>
      <w:r>
        <w:rPr>
          <w:i/>
        </w:rPr>
        <w:t xml:space="preserve">Chinese Journal of Chemical Engineering</w:t>
      </w:r>
      <w:r>
        <w:t xml:space="preserve"> </w:t>
      </w:r>
      <w:r>
        <w:rPr>
          <w:b/>
        </w:rPr>
        <w:t xml:space="preserve">19</w:t>
      </w:r>
      <w:r>
        <w:t xml:space="preserve">, 340–348 (2011).</w:t>
      </w:r>
    </w:p>
    <w:p>
      <w:pPr>
        <w:pStyle w:val="BodyText"/>
      </w:pPr>
      <w:r>
        <w:t xml:space="preserve">13.Höhener, P. &amp; Ponsin, V.</w:t>
      </w:r>
      <w:r>
        <w:t xml:space="preserve"> </w:t>
      </w:r>
      <w:r>
        <w:t xml:space="preserve">In situ vadose zone bioremediation</w:t>
      </w:r>
      <w:r>
        <w:t xml:space="preserve">.</w:t>
      </w:r>
      <w:r>
        <w:t xml:space="preserve"> </w:t>
      </w:r>
      <w:r>
        <w:rPr>
          <w:i/>
        </w:rPr>
        <w:t xml:space="preserve">Current Opinion in Biotechnology</w:t>
      </w:r>
      <w:r>
        <w:t xml:space="preserve"> </w:t>
      </w:r>
      <w:r>
        <w:rPr>
          <w:b/>
        </w:rPr>
        <w:t xml:space="preserve">27</w:t>
      </w:r>
      <w:r>
        <w:t xml:space="preserve">, 1–7 (2014).</w:t>
      </w:r>
    </w:p>
    <w:p>
      <w:pPr>
        <w:pStyle w:val="BodyText"/>
      </w:pPr>
      <w:r>
        <w:t xml:space="preserve">14.Thomè, A., Reginatto, C., I.Cecchin &amp; Colla, L. M.</w:t>
      </w:r>
      <w:r>
        <w:t xml:space="preserve"> </w:t>
      </w:r>
      <w:r>
        <w:t xml:space="preserve">Bioventing in a Residual Clayey Soil Contaminated with a Blend of Biodiesel and Diesel Oil</w:t>
      </w:r>
      <w:r>
        <w:t xml:space="preserve">.</w:t>
      </w:r>
      <w:r>
        <w:t xml:space="preserve"> </w:t>
      </w:r>
      <w:r>
        <w:rPr>
          <w:i/>
        </w:rPr>
        <w:t xml:space="preserve">Journal of Environmental Engineering</w:t>
      </w:r>
      <w:r>
        <w:t xml:space="preserve"> </w:t>
      </w:r>
      <w:r>
        <w:rPr>
          <w:b/>
        </w:rPr>
        <w:t xml:space="preserve">140</w:t>
      </w:r>
      <w:r>
        <w:t xml:space="preserve">, 06014005 (2014).</w:t>
      </w:r>
    </w:p>
    <w:p>
      <w:pPr>
        <w:pStyle w:val="BodyText"/>
      </w:pPr>
      <w:r>
        <w:t xml:space="preserve">15.Verma, J. P. &amp; Jaiswal, D. K.</w:t>
      </w:r>
      <w:r>
        <w:t xml:space="preserve"> </w:t>
      </w:r>
      <w:r>
        <w:t xml:space="preserve">Book Review: Advances in Biodegradation and Bioremediation of Industrial Waste</w:t>
      </w:r>
      <w:r>
        <w:t xml:space="preserve">.</w:t>
      </w:r>
      <w:r>
        <w:t xml:space="preserve"> </w:t>
      </w:r>
      <w:r>
        <w:rPr>
          <w:i/>
        </w:rPr>
        <w:t xml:space="preserve">Frontiers in Microbiology</w:t>
      </w:r>
      <w:r>
        <w:t xml:space="preserve"> </w:t>
      </w:r>
      <w:r>
        <w:rPr>
          <w:b/>
        </w:rPr>
        <w:t xml:space="preserve">6</w:t>
      </w:r>
      <w:r>
        <w:t xml:space="preserve">, (2016).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a641db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Biosparging: efficacia ed economicità per i siti contaminati da idrocarburi            </dc:title>
  <dc:creator>Rosanna Feola</dc:creator>
  <dcterms:created xsi:type="dcterms:W3CDTF">2020-06-30T15:04:38Z</dcterms:created>
  <dcterms:modified xsi:type="dcterms:W3CDTF">2020-06-30T15:04:38Z</dcterms:modified>
</cp:coreProperties>
</file>