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4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21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Human</w:t>
      </w:r>
      <w:r>
        <w:t xml:space="preserve"> </w:t>
      </w:r>
      <w:r>
        <w:t xml:space="preserve">BLK</w:t>
      </w:r>
      <w:r>
        <w:t xml:space="preserve"> </w:t>
      </w:r>
      <w:r>
        <w:t xml:space="preserve">tyrosine</w:t>
      </w:r>
      <w:r>
        <w:t xml:space="preserve"> </w:t>
      </w:r>
      <w:r>
        <w:t xml:space="preserve">protein</w:t>
      </w:r>
      <w:r>
        <w:t xml:space="preserve"> </w:t>
      </w:r>
      <w:r>
        <w:t xml:space="preserve">kinase</w:t>
      </w:r>
      <w:r>
        <w:t xml:space="preserve"> </w:t>
      </w:r>
      <w:r>
        <w:t xml:space="preserve">is</w:t>
      </w:r>
      <w:r>
        <w:t xml:space="preserve"> </w:t>
      </w:r>
      <w:r>
        <w:t xml:space="preserve">closely</w:t>
      </w:r>
      <w:r>
        <w:t xml:space="preserve"> </w:t>
      </w:r>
      <w:r>
        <w:t xml:space="preserve">related</w:t>
      </w:r>
      <w:r>
        <w:t xml:space="preserve"> </w:t>
      </w:r>
      <w:r>
        <w:t xml:space="preserve">to</w:t>
      </w:r>
      <w:r>
        <w:t xml:space="preserve"> </w:t>
      </w:r>
      <w:r>
        <w:rPr>
          <w:i/>
        </w:rPr>
        <w:t xml:space="preserve">Pongo</w:t>
      </w:r>
      <w:r>
        <w:rPr>
          <w:i/>
        </w:rPr>
        <w:t xml:space="preserve"> </w:t>
      </w:r>
      <w:r>
        <w:rPr>
          <w:i/>
        </w:rPr>
        <w:t xml:space="preserve">Albelli</w:t>
      </w:r>
      <w:r>
        <w:t xml:space="preserve">:</w:t>
      </w:r>
      <w:r>
        <w:t xml:space="preserve"> </w:t>
      </w:r>
      <w:r>
        <w:t xml:space="preserve">An</w:t>
      </w:r>
      <w:r>
        <w:t xml:space="preserve"> </w:t>
      </w:r>
      <w:r>
        <w:rPr>
          <w:i/>
        </w:rPr>
        <w:t xml:space="preserve">in</w:t>
      </w:r>
      <w:r>
        <w:rPr>
          <w:i/>
        </w:rPr>
        <w:t xml:space="preserve"> </w:t>
      </w:r>
      <w:r>
        <w:rPr>
          <w:i/>
        </w:rPr>
        <w:t xml:space="preserve">silico</w:t>
      </w:r>
      <w:r>
        <w:t xml:space="preserve"> </w:t>
      </w:r>
      <w:r>
        <w:t xml:space="preserve">structural</w:t>
      </w:r>
      <w:r>
        <w:t xml:space="preserve"> </w:t>
      </w:r>
      <w:r>
        <w:t xml:space="preserve">and</w:t>
      </w:r>
      <w:r>
        <w:t xml:space="preserve"> </w:t>
      </w:r>
      <w:r>
        <w:t xml:space="preserve">functional</w:t>
      </w:r>
      <w:r>
        <w:t xml:space="preserve"> </w:t>
      </w:r>
      <w:r>
        <w:t xml:space="preserve">analysis</w:t>
      </w:r>
    </w:p>
    <w:p>
      <w:pPr>
        <w:pStyle w:val="Author"/>
      </w:pPr>
      <w:r>
        <w:t xml:space="preserve">Princy</w:t>
      </w:r>
      <w:r>
        <w:t xml:space="preserve"> </w:t>
      </w:r>
      <w:r>
        <w:t xml:space="preserve">Princy</w:t>
      </w:r>
    </w:p>
    <w:p>
      <w:pPr>
        <w:pStyle w:val="Author"/>
      </w:pPr>
      <w:r>
        <w:t xml:space="preserve">Shaban</w:t>
      </w:r>
      <w:r>
        <w:t xml:space="preserve"> </w:t>
      </w:r>
      <w:r>
        <w:t xml:space="preserve">Ahmad</w:t>
      </w:r>
    </w:p>
    <w:p>
      <w:pPr>
        <w:pStyle w:val="Author"/>
      </w:pPr>
      <w:r>
        <w:t xml:space="preserve">Fatima</w:t>
      </w:r>
      <w:r>
        <w:t xml:space="preserve"> </w:t>
      </w:r>
      <w:r>
        <w:t xml:space="preserve">Khan</w:t>
      </w:r>
    </w:p>
    <w:p>
      <w:pPr>
        <w:pStyle w:val="Author"/>
      </w:pPr>
      <w:r>
        <w:t xml:space="preserve">Sahil</w:t>
      </w:r>
      <w:r>
        <w:t xml:space="preserve"> </w:t>
      </w:r>
      <w:r>
        <w:t xml:space="preserve">Mehta</w:t>
      </w:r>
    </w:p>
    <w:p>
      <w:pPr>
        <w:pStyle w:val="Author"/>
      </w:pPr>
      <w:r>
        <w:t xml:space="preserve">Sahar</w:t>
      </w:r>
      <w:r>
        <w:t xml:space="preserve"> </w:t>
      </w:r>
      <w:r>
        <w:t xml:space="preserve">Qazi</w:t>
      </w:r>
    </w:p>
    <w:p>
      <w:pPr>
        <w:pStyle w:val="Author"/>
      </w:pPr>
      <w:r>
        <w:t xml:space="preserve">Khalid</w:t>
      </w:r>
      <w:r>
        <w:t xml:space="preserve"> </w:t>
      </w:r>
      <w:r>
        <w:t xml:space="preserve">Raza</w:t>
      </w:r>
    </w:p>
    <w:p>
      <w:pPr>
        <w:pStyle w:val="Abstract"/>
      </w:pPr>
      <w:r>
        <w:t xml:space="preserve">BLK</w:t>
      </w:r>
      <w:r>
        <w:t xml:space="preserve"> </w:t>
      </w:r>
      <w:r>
        <w:t xml:space="preserve">belongs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family</w:t>
      </w:r>
      <w:r>
        <w:t xml:space="preserve"> </w:t>
      </w:r>
      <w:r>
        <w:t xml:space="preserve">of</w:t>
      </w:r>
      <w:r>
        <w:t xml:space="preserve"> </w:t>
      </w:r>
      <w:r>
        <w:t xml:space="preserve">SRC</w:t>
      </w:r>
      <w:r>
        <w:t xml:space="preserve"> </w:t>
      </w:r>
      <w:r>
        <w:t xml:space="preserve">kinases</w:t>
      </w:r>
      <w:r>
        <w:t xml:space="preserve"> </w:t>
      </w:r>
      <w:r>
        <w:t xml:space="preserve">(SFKs),</w:t>
      </w:r>
      <w:r>
        <w:t xml:space="preserve"> </w:t>
      </w:r>
      <w:r>
        <w:t xml:space="preserve">and</w:t>
      </w:r>
      <w:r>
        <w:t xml:space="preserve"> </w:t>
      </w:r>
      <w:r>
        <w:t xml:space="preserve">are</w:t>
      </w:r>
      <w:r>
        <w:t xml:space="preserve"> </w:t>
      </w:r>
      <w:r>
        <w:t xml:space="preserve">diagnosed</w:t>
      </w:r>
      <w:r>
        <w:t xml:space="preserve"> </w:t>
      </w:r>
      <w:r>
        <w:t xml:space="preserve">with</w:t>
      </w:r>
      <w:r>
        <w:t xml:space="preserve"> </w:t>
      </w:r>
      <w:r>
        <w:t xml:space="preserve">the</w:t>
      </w:r>
      <w:r>
        <w:t xml:space="preserve"> </w:t>
      </w:r>
      <w:r>
        <w:t xml:space="preserve">aid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presence</w:t>
      </w:r>
      <w:r>
        <w:t xml:space="preserve"> </w:t>
      </w:r>
      <w:r>
        <w:t xml:space="preserve">of</w:t>
      </w:r>
      <w:r>
        <w:t xml:space="preserve"> </w:t>
      </w:r>
      <w:r>
        <w:t xml:space="preserve">an</w:t>
      </w:r>
      <w:r>
        <w:t xml:space="preserve"> </w:t>
      </w:r>
      <w:r>
        <w:t xml:space="preserve">SH3</w:t>
      </w:r>
      <w:r>
        <w:t xml:space="preserve"> </w:t>
      </w:r>
      <w:r>
        <w:t xml:space="preserve">and</w:t>
      </w:r>
      <w:r>
        <w:t xml:space="preserve"> </w:t>
      </w:r>
      <w:r>
        <w:t xml:space="preserve">SH2</w:t>
      </w:r>
      <w:r>
        <w:t xml:space="preserve"> </w:t>
      </w:r>
      <w:r>
        <w:t xml:space="preserve">regulatory</w:t>
      </w:r>
      <w:r>
        <w:t xml:space="preserve"> </w:t>
      </w:r>
      <w:r>
        <w:t xml:space="preserve">domains</w:t>
      </w:r>
      <w:r>
        <w:t xml:space="preserve"> </w:t>
      </w:r>
      <w:r>
        <w:t xml:space="preserve">of</w:t>
      </w:r>
      <w:r>
        <w:t xml:space="preserve"> </w:t>
      </w:r>
      <w:r>
        <w:t xml:space="preserve">N-terminal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catalytic</w:t>
      </w:r>
      <w:r>
        <w:t xml:space="preserve"> </w:t>
      </w:r>
      <w:r>
        <w:t xml:space="preserve">kinase</w:t>
      </w:r>
      <w:r>
        <w:t xml:space="preserve"> </w:t>
      </w:r>
      <w:r>
        <w:t xml:space="preserve">domain.</w:t>
      </w:r>
      <w:r>
        <w:t xml:space="preserve"> </w:t>
      </w:r>
      <w:r>
        <w:t xml:space="preserve">BLK</w:t>
      </w:r>
      <w:r>
        <w:t xml:space="preserve"> </w:t>
      </w:r>
      <w:r>
        <w:t xml:space="preserve">in</w:t>
      </w:r>
      <w:r>
        <w:t xml:space="preserve"> </w:t>
      </w:r>
      <w:r>
        <w:t xml:space="preserve">signalling</w:t>
      </w:r>
      <w:r>
        <w:t xml:space="preserve"> </w:t>
      </w:r>
      <w:r>
        <w:t xml:space="preserve">has</w:t>
      </w:r>
      <w:r>
        <w:t xml:space="preserve"> </w:t>
      </w:r>
      <w:r>
        <w:t xml:space="preserve">a</w:t>
      </w:r>
      <w:r>
        <w:t xml:space="preserve"> </w:t>
      </w:r>
      <w:r>
        <w:t xml:space="preserve">vast</w:t>
      </w:r>
      <w:r>
        <w:t xml:space="preserve"> </w:t>
      </w:r>
      <w:r>
        <w:t xml:space="preserve">position</w:t>
      </w:r>
      <w:r>
        <w:t xml:space="preserve"> </w:t>
      </w:r>
      <w:r>
        <w:t xml:space="preserve">in</w:t>
      </w:r>
      <w:r>
        <w:t xml:space="preserve"> </w:t>
      </w:r>
      <w:r>
        <w:t xml:space="preserve">transmitting</w:t>
      </w:r>
      <w:r>
        <w:t xml:space="preserve"> </w:t>
      </w:r>
      <w:r>
        <w:t xml:space="preserve">alerts</w:t>
      </w:r>
      <w:r>
        <w:t xml:space="preserve"> </w:t>
      </w:r>
      <w:r>
        <w:t xml:space="preserve">via</w:t>
      </w:r>
      <w:r>
        <w:t xml:space="preserve"> </w:t>
      </w:r>
      <w:r>
        <w:t xml:space="preserve">immunoglobulins</w:t>
      </w:r>
      <w:r>
        <w:t xml:space="preserve"> </w:t>
      </w:r>
      <w:r>
        <w:t xml:space="preserve">and</w:t>
      </w:r>
      <w:r>
        <w:t xml:space="preserve"> </w:t>
      </w:r>
      <w:r>
        <w:t xml:space="preserve">ends</w:t>
      </w:r>
      <w:r>
        <w:t xml:space="preserve"> </w:t>
      </w:r>
      <w:r>
        <w:t xml:space="preserve">in</w:t>
      </w:r>
      <w:r>
        <w:t xml:space="preserve"> </w:t>
      </w:r>
      <w:r>
        <w:t xml:space="preserve">pro-B</w:t>
      </w:r>
      <w:r>
        <w:t xml:space="preserve"> </w:t>
      </w:r>
      <w:r>
        <w:t xml:space="preserve">to</w:t>
      </w:r>
      <w:r>
        <w:t xml:space="preserve"> </w:t>
      </w:r>
      <w:r>
        <w:t xml:space="preserve">pre-B</w:t>
      </w:r>
      <w:r>
        <w:t xml:space="preserve"> </w:t>
      </w:r>
      <w:r>
        <w:t xml:space="preserve">conversion,</w:t>
      </w:r>
      <w:r>
        <w:t xml:space="preserve"> </w:t>
      </w:r>
      <w:r>
        <w:t xml:space="preserve">and</w:t>
      </w:r>
      <w:r>
        <w:t xml:space="preserve"> </w:t>
      </w:r>
      <w:r>
        <w:t xml:space="preserve">in</w:t>
      </w:r>
      <w:r>
        <w:t xml:space="preserve"> </w:t>
      </w:r>
      <w:r>
        <w:t xml:space="preserve">signalling</w:t>
      </w:r>
      <w:r>
        <w:t xml:space="preserve"> </w:t>
      </w:r>
      <w:r>
        <w:t xml:space="preserve">for</w:t>
      </w:r>
      <w:r>
        <w:t xml:space="preserve"> </w:t>
      </w:r>
      <w:r>
        <w:t xml:space="preserve">boom</w:t>
      </w:r>
      <w:r>
        <w:t xml:space="preserve"> </w:t>
      </w:r>
      <w:r>
        <w:t xml:space="preserve">arrest</w:t>
      </w:r>
      <w:r>
        <w:t xml:space="preserve"> </w:t>
      </w:r>
      <w:r>
        <w:t xml:space="preserve">and</w:t>
      </w:r>
      <w:r>
        <w:t xml:space="preserve"> </w:t>
      </w:r>
      <w:r>
        <w:t xml:space="preserve">apoptosis</w:t>
      </w:r>
      <w:r>
        <w:t xml:space="preserve"> </w:t>
      </w:r>
      <w:r>
        <w:t xml:space="preserve">downstream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B-cellular</w:t>
      </w:r>
      <w:r>
        <w:t xml:space="preserve"> </w:t>
      </w:r>
      <w:r>
        <w:t xml:space="preserve">receptor.</w:t>
      </w:r>
      <w:r>
        <w:t xml:space="preserve"> </w:t>
      </w:r>
      <w:r>
        <w:t xml:space="preserve">We</w:t>
      </w:r>
      <w:r>
        <w:t xml:space="preserve"> </w:t>
      </w:r>
      <w:r>
        <w:t xml:space="preserve">have</w:t>
      </w:r>
      <w:r>
        <w:t xml:space="preserve"> </w:t>
      </w:r>
      <w:r>
        <w:t xml:space="preserve">performed</w:t>
      </w:r>
      <w:r>
        <w:t xml:space="preserve"> </w:t>
      </w:r>
      <w:r>
        <w:t xml:space="preserve">a</w:t>
      </w:r>
      <w:r>
        <w:t xml:space="preserve"> </w:t>
      </w:r>
      <w:r>
        <w:t xml:space="preserve">series</w:t>
      </w:r>
      <w:r>
        <w:t xml:space="preserve"> </w:t>
      </w:r>
      <w:r>
        <w:t xml:space="preserve">of</w:t>
      </w:r>
      <w:r>
        <w:t xml:space="preserve"> </w:t>
      </w:r>
      <w:r>
        <w:t xml:space="preserve">computational</w:t>
      </w:r>
      <w:r>
        <w:t xml:space="preserve"> </w:t>
      </w:r>
      <w:r>
        <w:t xml:space="preserve">analysis</w:t>
      </w:r>
      <w:r>
        <w:t xml:space="preserve"> </w:t>
      </w:r>
      <w:r>
        <w:t xml:space="preserve">on</w:t>
      </w:r>
      <w:r>
        <w:t xml:space="preserve"> </w:t>
      </w:r>
      <w:r>
        <w:t xml:space="preserve">various</w:t>
      </w:r>
      <w:r>
        <w:t xml:space="preserve"> </w:t>
      </w:r>
      <w:r>
        <w:t xml:space="preserve">aspects</w:t>
      </w:r>
      <w:r>
        <w:t xml:space="preserve"> </w:t>
      </w:r>
      <w:r>
        <w:t xml:space="preserve">on</w:t>
      </w:r>
      <w:r>
        <w:t xml:space="preserve"> </w:t>
      </w:r>
      <w:r>
        <w:t xml:space="preserve">BLK</w:t>
      </w:r>
      <w:r>
        <w:t xml:space="preserve"> </w:t>
      </w:r>
      <w:r>
        <w:t xml:space="preserve">viz</w:t>
      </w:r>
      <w:r>
        <w:t xml:space="preserve"> </w:t>
      </w:r>
      <w:r>
        <w:t xml:space="preserve">phylogenetic</w:t>
      </w:r>
      <w:r>
        <w:t xml:space="preserve"> </w:t>
      </w:r>
      <w:r>
        <w:t xml:space="preserve">analysis,</w:t>
      </w:r>
      <w:r>
        <w:t xml:space="preserve"> </w:t>
      </w:r>
      <w:r>
        <w:t xml:space="preserve">domain</w:t>
      </w:r>
      <w:r>
        <w:t xml:space="preserve"> </w:t>
      </w:r>
      <w:r>
        <w:t xml:space="preserve">analysis,</w:t>
      </w:r>
      <w:r>
        <w:t xml:space="preserve"> </w:t>
      </w:r>
      <w:r>
        <w:t xml:space="preserve">secondary</w:t>
      </w:r>
      <w:r>
        <w:t xml:space="preserve"> </w:t>
      </w:r>
      <w:r>
        <w:t xml:space="preserve">structure</w:t>
      </w:r>
      <w:r>
        <w:t xml:space="preserve"> </w:t>
      </w:r>
      <w:r>
        <w:t xml:space="preserve">prediction,</w:t>
      </w:r>
      <w:r>
        <w:t xml:space="preserve"> </w:t>
      </w:r>
      <w:r>
        <w:t xml:space="preserve">charge</w:t>
      </w:r>
      <w:r>
        <w:t xml:space="preserve"> </w:t>
      </w:r>
      <w:r>
        <w:t xml:space="preserve">distribution,</w:t>
      </w:r>
      <w:r>
        <w:t xml:space="preserve"> </w:t>
      </w:r>
      <w:r>
        <w:t xml:space="preserve">prediction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antigenic</w:t>
      </w:r>
      <w:r>
        <w:t xml:space="preserve"> </w:t>
      </w:r>
      <w:r>
        <w:t xml:space="preserve">region</w:t>
      </w:r>
      <w:r>
        <w:t xml:space="preserve"> </w:t>
      </w:r>
      <w:r>
        <w:t xml:space="preserve">and</w:t>
      </w:r>
      <w:r>
        <w:t xml:space="preserve"> </w:t>
      </w:r>
      <w:r>
        <w:t xml:space="preserve">have</w:t>
      </w:r>
      <w:r>
        <w:t xml:space="preserve"> </w:t>
      </w:r>
      <w:r>
        <w:t xml:space="preserve">executed</w:t>
      </w:r>
      <w:r>
        <w:t xml:space="preserve"> </w:t>
      </w:r>
      <w:r>
        <w:t xml:space="preserve">structural</w:t>
      </w:r>
      <w:r>
        <w:t xml:space="preserve"> </w:t>
      </w:r>
      <w:r>
        <w:t xml:space="preserve">analysis</w:t>
      </w:r>
      <w:r>
        <w:t xml:space="preserve"> </w:t>
      </w:r>
      <w:r>
        <w:t xml:space="preserve">by</w:t>
      </w:r>
      <w:r>
        <w:t xml:space="preserve"> </w:t>
      </w:r>
      <w:r>
        <w:t xml:space="preserve">first</w:t>
      </w:r>
      <w:r>
        <w:t xml:space="preserve"> </w:t>
      </w:r>
      <w:r>
        <w:t xml:space="preserve">structure</w:t>
      </w:r>
      <w:r>
        <w:t xml:space="preserve"> </w:t>
      </w:r>
      <w:r>
        <w:t xml:space="preserve">modelling</w:t>
      </w:r>
      <w:r>
        <w:t xml:space="preserve"> </w:t>
      </w:r>
      <w:r>
        <w:t xml:space="preserve">and</w:t>
      </w:r>
      <w:r>
        <w:t xml:space="preserve"> </w:t>
      </w:r>
      <w:r>
        <w:t xml:space="preserve">then</w:t>
      </w:r>
      <w:r>
        <w:t xml:space="preserve"> </w:t>
      </w:r>
      <w:r>
        <w:t xml:space="preserve">its</w:t>
      </w:r>
      <w:r>
        <w:t xml:space="preserve"> </w:t>
      </w:r>
      <w:r>
        <w:t xml:space="preserve">refinement,</w:t>
      </w:r>
      <w:r>
        <w:t xml:space="preserve"> </w:t>
      </w:r>
      <w:r>
        <w:t xml:space="preserve">and</w:t>
      </w:r>
      <w:r>
        <w:t xml:space="preserve"> </w:t>
      </w:r>
      <w:r>
        <w:t xml:space="preserve">active</w:t>
      </w:r>
      <w:r>
        <w:t xml:space="preserve"> </w:t>
      </w:r>
      <w:r>
        <w:t xml:space="preserve">site</w:t>
      </w:r>
      <w:r>
        <w:t xml:space="preserve"> </w:t>
      </w:r>
      <w:r>
        <w:t xml:space="preserve">prediction</w:t>
      </w:r>
      <w:r>
        <w:t xml:space="preserve"> </w:t>
      </w:r>
      <w:r>
        <w:t xml:space="preserve">for</w:t>
      </w:r>
      <w:r>
        <w:t xml:space="preserve"> </w:t>
      </w:r>
      <w:r>
        <w:t xml:space="preserve">better</w:t>
      </w:r>
      <w:r>
        <w:t xml:space="preserve"> </w:t>
      </w:r>
      <w:r>
        <w:t xml:space="preserve">understanding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human</w:t>
      </w:r>
      <w:r>
        <w:t xml:space="preserve"> </w:t>
      </w:r>
      <w:r>
        <w:t xml:space="preserve">BLK</w:t>
      </w:r>
      <w:r>
        <w:t xml:space="preserve"> </w:t>
      </w:r>
      <w:r>
        <w:t xml:space="preserve">as</w:t>
      </w:r>
      <w:r>
        <w:t xml:space="preserve"> </w:t>
      </w:r>
      <w:r>
        <w:t xml:space="preserve">a</w:t>
      </w:r>
      <w:r>
        <w:t xml:space="preserve"> </w:t>
      </w:r>
      <w:r>
        <w:t xml:space="preserve">drug</w:t>
      </w:r>
      <w:r>
        <w:t xml:space="preserve"> </w:t>
      </w:r>
      <w:r>
        <w:t xml:space="preserve">target.</w:t>
      </w:r>
      <w:r>
        <w:t xml:space="preserve"> </w:t>
      </w:r>
      <w:r>
        <w:t xml:space="preserve">Our</w:t>
      </w:r>
      <w:r>
        <w:t xml:space="preserve"> </w:t>
      </w:r>
      <w:r>
        <w:t xml:space="preserve">study</w:t>
      </w:r>
      <w:r>
        <w:t xml:space="preserve"> </w:t>
      </w:r>
      <w:r>
        <w:t xml:space="preserve">includes</w:t>
      </w:r>
      <w:r>
        <w:t xml:space="preserve"> </w:t>
      </w:r>
      <w:r>
        <w:t xml:space="preserve">a</w:t>
      </w:r>
      <w:r>
        <w:t xml:space="preserve"> </w:t>
      </w:r>
      <w:r>
        <w:t xml:space="preserve">detailed</w:t>
      </w:r>
      <w:r>
        <w:t xml:space="preserve"> </w:t>
      </w:r>
      <w:r>
        <w:t xml:space="preserve">analysis</w:t>
      </w:r>
      <w:r>
        <w:t xml:space="preserve"> </w:t>
      </w:r>
      <w:r>
        <w:t xml:space="preserve">and</w:t>
      </w:r>
      <w:r>
        <w:t xml:space="preserve"> </w:t>
      </w:r>
      <w:r>
        <w:t xml:space="preserve">graphical</w:t>
      </w:r>
      <w:r>
        <w:t xml:space="preserve"> </w:t>
      </w:r>
      <w:r>
        <w:t xml:space="preserve">representation</w:t>
      </w:r>
      <w:r>
        <w:t xml:space="preserve"> </w:t>
      </w:r>
      <w:r>
        <w:t xml:space="preserve">of</w:t>
      </w:r>
      <w:r>
        <w:t xml:space="preserve"> </w:t>
      </w:r>
      <w:r>
        <w:t xml:space="preserve">different</w:t>
      </w:r>
      <w:r>
        <w:t xml:space="preserve"> </w:t>
      </w:r>
      <w:r>
        <w:t xml:space="preserve">domains,</w:t>
      </w:r>
      <w:r>
        <w:t xml:space="preserve"> </w:t>
      </w:r>
      <w:r>
        <w:t xml:space="preserve">charge</w:t>
      </w:r>
      <w:r>
        <w:t xml:space="preserve"> </w:t>
      </w:r>
      <w:r>
        <w:t xml:space="preserve">distribution,</w:t>
      </w:r>
      <w:r>
        <w:t xml:space="preserve"> </w:t>
      </w:r>
      <w:r>
        <w:t xml:space="preserve">prediction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antigenic</w:t>
      </w:r>
      <w:r>
        <w:t xml:space="preserve"> </w:t>
      </w:r>
      <w:r>
        <w:t xml:space="preserve">region</w:t>
      </w:r>
      <w:r>
        <w:t xml:space="preserve"> </w:t>
      </w:r>
      <w:r>
        <w:t xml:space="preserve">etc</w:t>
      </w:r>
      <w:r>
        <w:t xml:space="preserve"> </w:t>
      </w:r>
      <w:r>
        <w:t xml:space="preserve">with</w:t>
      </w:r>
      <w:r>
        <w:t xml:space="preserve"> </w:t>
      </w:r>
      <w:r>
        <w:t xml:space="preserve">corresponding</w:t>
      </w:r>
      <w:r>
        <w:t xml:space="preserve"> </w:t>
      </w:r>
      <w:r>
        <w:t xml:space="preserve">sequence</w:t>
      </w:r>
      <w:r>
        <w:t xml:space="preserve"> </w:t>
      </w:r>
      <w:r>
        <w:t xml:space="preserve">and</w:t>
      </w:r>
      <w:r>
        <w:t xml:space="preserve"> </w:t>
      </w:r>
      <w:r>
        <w:t xml:space="preserve">its</w:t>
      </w:r>
      <w:r>
        <w:t xml:space="preserve"> </w:t>
      </w:r>
      <w:r>
        <w:t xml:space="preserve">secondary</w:t>
      </w:r>
      <w:r>
        <w:t xml:space="preserve"> </w:t>
      </w:r>
      <w:r>
        <w:t xml:space="preserve">structure</w:t>
      </w:r>
      <w:r>
        <w:t xml:space="preserve"> </w:t>
      </w:r>
      <w:r>
        <w:t xml:space="preserve">for</w:t>
      </w:r>
      <w:r>
        <w:t xml:space="preserve"> </w:t>
      </w:r>
      <w:r>
        <w:t xml:space="preserve">the</w:t>
      </w:r>
      <w:r>
        <w:t xml:space="preserve"> </w:t>
      </w:r>
      <w:r>
        <w:t xml:space="preserve">pharmacological</w:t>
      </w:r>
      <w:r>
        <w:t xml:space="preserve"> </w:t>
      </w:r>
      <w:r>
        <w:t xml:space="preserve">aspect</w:t>
      </w:r>
      <w:r>
        <w:t xml:space="preserve"> </w:t>
      </w:r>
      <w:r>
        <w:t xml:space="preserve">of</w:t>
      </w:r>
      <w:r>
        <w:t xml:space="preserve"> </w:t>
      </w:r>
      <w:r>
        <w:t xml:space="preserve">BLK</w:t>
      </w:r>
      <w:r>
        <w:t xml:space="preserve"> </w:t>
      </w:r>
      <w:r>
        <w:t xml:space="preserve">which</w:t>
      </w:r>
      <w:r>
        <w:t xml:space="preserve"> </w:t>
      </w:r>
      <w:r>
        <w:t xml:space="preserve">observed</w:t>
      </w:r>
      <w:r>
        <w:t xml:space="preserve"> </w:t>
      </w:r>
      <w:r>
        <w:t xml:space="preserve">that</w:t>
      </w:r>
      <w:r>
        <w:t xml:space="preserve"> </w:t>
      </w:r>
      <w:r>
        <w:rPr>
          <w:i/>
        </w:rPr>
        <w:t xml:space="preserve">Tulipa</w:t>
      </w:r>
      <w:r>
        <w:rPr>
          <w:i/>
        </w:rPr>
        <w:t xml:space="preserve"> </w:t>
      </w:r>
      <w:r>
        <w:rPr>
          <w:i/>
        </w:rPr>
        <w:t xml:space="preserve">suaveolens</w:t>
      </w:r>
      <w:r>
        <w:t xml:space="preserve"> </w:t>
      </w:r>
      <w:r>
        <w:t xml:space="preserve">is</w:t>
      </w:r>
      <w:r>
        <w:t xml:space="preserve"> </w:t>
      </w:r>
      <w:r>
        <w:t xml:space="preserve">the</w:t>
      </w:r>
      <w:r>
        <w:t xml:space="preserve"> </w:t>
      </w:r>
      <w:r>
        <w:t xml:space="preserve">most</w:t>
      </w:r>
      <w:r>
        <w:t xml:space="preserve"> </w:t>
      </w:r>
      <w:r>
        <w:t xml:space="preserve">outed</w:t>
      </w:r>
      <w:r>
        <w:t xml:space="preserve"> </w:t>
      </w:r>
      <w:r>
        <w:t xml:space="preserve">clade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BLK</w:t>
      </w:r>
      <w:r>
        <w:t xml:space="preserve"> </w:t>
      </w:r>
      <w:r>
        <w:t xml:space="preserve">and</w:t>
      </w:r>
      <w:r>
        <w:t xml:space="preserve"> </w:t>
      </w:r>
      <w:r>
        <w:t xml:space="preserve">Human</w:t>
      </w:r>
      <w:r>
        <w:t xml:space="preserve"> </w:t>
      </w:r>
      <w:r>
        <w:t xml:space="preserve">BLK</w:t>
      </w:r>
      <w:r>
        <w:t xml:space="preserve"> </w:t>
      </w:r>
      <w:r>
        <w:t xml:space="preserve">is</w:t>
      </w:r>
      <w:r>
        <w:t xml:space="preserve"> </w:t>
      </w:r>
      <w:r>
        <w:t xml:space="preserve">found</w:t>
      </w:r>
      <w:r>
        <w:t xml:space="preserve"> </w:t>
      </w:r>
      <w:r>
        <w:t xml:space="preserve">to</w:t>
      </w:r>
      <w:r>
        <w:t xml:space="preserve"> </w:t>
      </w:r>
      <w:r>
        <w:t xml:space="preserve">be</w:t>
      </w:r>
      <w:r>
        <w:t xml:space="preserve"> </w:t>
      </w:r>
      <w:r>
        <w:t xml:space="preserve">very</w:t>
      </w:r>
      <w:r>
        <w:t xml:space="preserve"> </w:t>
      </w:r>
      <w:r>
        <w:t xml:space="preserve">closed</w:t>
      </w:r>
      <w:r>
        <w:t xml:space="preserve"> </w:t>
      </w:r>
      <w:r>
        <w:t xml:space="preserve">to</w:t>
      </w:r>
      <w:r>
        <w:t xml:space="preserve"> </w:t>
      </w:r>
      <w:r>
        <w:rPr>
          <w:i/>
        </w:rPr>
        <w:t xml:space="preserve">Pongo</w:t>
      </w:r>
      <w:r>
        <w:rPr>
          <w:i/>
        </w:rPr>
        <w:t xml:space="preserve"> </w:t>
      </w:r>
      <w:r>
        <w:rPr>
          <w:i/>
        </w:rPr>
        <w:t xml:space="preserve">Abelii</w:t>
      </w:r>
      <w:r>
        <w:t xml:space="preserve"> </w:t>
      </w:r>
      <w:r>
        <w:t xml:space="preserve">through</w:t>
      </w:r>
      <w:r>
        <w:t xml:space="preserve"> </w:t>
      </w:r>
      <w:r>
        <w:t xml:space="preserve">the</w:t>
      </w:r>
      <w:r>
        <w:t xml:space="preserve"> </w:t>
      </w:r>
      <w:r>
        <w:t xml:space="preserve">phylogenetic</w:t>
      </w:r>
      <w:r>
        <w:t xml:space="preserve"> </w:t>
      </w:r>
      <w:r>
        <w:t xml:space="preserve">tree</w:t>
      </w:r>
      <w:r>
        <w:t xml:space="preserve"> </w:t>
      </w:r>
      <w:r>
        <w:t xml:space="preserve">assessment.</w:t>
      </w:r>
    </w:p>
    <w:p>
      <w:pPr>
        <w:pStyle w:val="FirstParagraph"/>
      </w:pPr>
      <w:r>
        <w:rPr>
          <w:b/>
        </w:rPr>
        <w:t xml:space="preserve">Introduction</w:t>
      </w:r>
    </w:p>
    <w:p>
      <w:pPr>
        <w:pStyle w:val="BodyText"/>
      </w:pPr>
      <w:r>
        <w:t xml:space="preserve">BLK is one of the important members of the SRC family kinases (SFKs). In</w:t>
      </w:r>
      <w:r>
        <w:t xml:space="preserve"> </w:t>
      </w:r>
      <w:r>
        <w:t xml:space="preserve">human, there are eight closely related non-receptor tyrosine kinases of</w:t>
      </w:r>
      <w:r>
        <w:t xml:space="preserve"> </w:t>
      </w:r>
      <w:r>
        <w:t xml:space="preserve">SFKs includes SRC, YES1, FYN, FGR, LCK, LYN, HCK and BLK. These all</w:t>
      </w:r>
      <w:r>
        <w:t xml:space="preserve"> </w:t>
      </w:r>
      <w:r>
        <w:t xml:space="preserve">kinases are related to each other as they all possess quite similar</w:t>
      </w:r>
      <w:r>
        <w:t xml:space="preserve"> </w:t>
      </w:r>
      <w:r>
        <w:t xml:space="preserve">domain structures including N-terminal segment that includes the SH4</w:t>
      </w:r>
      <w:r>
        <w:t xml:space="preserve"> </w:t>
      </w:r>
      <w:r>
        <w:t xml:space="preserve">domain and 50-70 additional residues that are different to each family</w:t>
      </w:r>
      <w:r>
        <w:t xml:space="preserve"> </w:t>
      </w:r>
      <w:r>
        <w:t xml:space="preserve">member (Oda, Kumar, &amp; Howley, 1999). All are differentiated by SH3 and</w:t>
      </w:r>
      <w:r>
        <w:t xml:space="preserve"> </w:t>
      </w:r>
      <w:r>
        <w:t xml:space="preserve">an SH2 regulatory domains N-terminal to the catalytic kinase domain. The</w:t>
      </w:r>
      <w:r>
        <w:t xml:space="preserve"> </w:t>
      </w:r>
      <w:r>
        <w:t xml:space="preserve">SFKs are linked with the transmembrane receptors and turn on by</w:t>
      </w:r>
      <w:r>
        <w:t xml:space="preserve"> </w:t>
      </w:r>
      <w:r>
        <w:t xml:space="preserve">extracellular receptor stimulation (Petersen et al., 2017). The SFKs are</w:t>
      </w:r>
      <w:r>
        <w:t xml:space="preserve"> </w:t>
      </w:r>
      <w:r>
        <w:t xml:space="preserve">tightly regulated, it exhibits little activity in normal cells in the</w:t>
      </w:r>
      <w:r>
        <w:t xml:space="preserve"> </w:t>
      </w:r>
      <w:r>
        <w:t xml:space="preserve">absence of regulatory signal. This regulation is mediated by</w:t>
      </w:r>
      <w:r>
        <w:t xml:space="preserve"> </w:t>
      </w:r>
      <w:r>
        <w:t xml:space="preserve">phosphorylation/dephosphorylation of a specific tyrosine residue in the</w:t>
      </w:r>
      <w:r>
        <w:t xml:space="preserve"> </w:t>
      </w:r>
      <w:r>
        <w:t xml:space="preserve">carboxy-terminal tail (Tyr 527 in c-Src). Regulatory tyrosine residue is</w:t>
      </w:r>
      <w:r>
        <w:t xml:space="preserve"> </w:t>
      </w:r>
      <w:r>
        <w:t xml:space="preserve">phosphorylated by means of cytoplasmic tyrosine kinase which includes</w:t>
      </w:r>
      <w:r>
        <w:t xml:space="preserve"> </w:t>
      </w:r>
      <w:r>
        <w:t xml:space="preserve">Csk causes a conformational exchange that effects within the closed-form</w:t>
      </w:r>
      <w:r>
        <w:t xml:space="preserve"> </w:t>
      </w:r>
      <w:r>
        <w:t xml:space="preserve">of c-Src due to an intramolecular bonding among the phosphorylated</w:t>
      </w:r>
      <w:r>
        <w:t xml:space="preserve"> </w:t>
      </w:r>
      <w:r>
        <w:t xml:space="preserve">tyrosine and SH2 domains. Due to closed conformation, Src could now not</w:t>
      </w:r>
      <w:r>
        <w:t xml:space="preserve"> </w:t>
      </w:r>
      <w:r>
        <w:t xml:space="preserve">have interaction with different targeted proteins thru SH2 and SH3</w:t>
      </w:r>
      <w:r>
        <w:t xml:space="preserve"> </w:t>
      </w:r>
      <w:r>
        <w:t xml:space="preserve">domain. After dephosphorylation of Tyr 527, Src embraces an active</w:t>
      </w:r>
      <w:r>
        <w:t xml:space="preserve"> </w:t>
      </w:r>
      <w:r>
        <w:t xml:space="preserve">(open) conformation in which the SH2 and SH3 domains are allowed to have</w:t>
      </w:r>
      <w:r>
        <w:t xml:space="preserve"> </w:t>
      </w:r>
      <w:r>
        <w:t xml:space="preserve">interaction with some other goal. Inactive conformation, the kinase area</w:t>
      </w:r>
      <w:r>
        <w:t xml:space="preserve"> </w:t>
      </w:r>
      <w:r>
        <w:t xml:space="preserve">of Tyr 416 is obtainable for autophosphorylation, for growing the kinase</w:t>
      </w:r>
      <w:r>
        <w:t xml:space="preserve"> </w:t>
      </w:r>
      <w:r>
        <w:t xml:space="preserve">activity (Oda et al., 1999).</w:t>
      </w:r>
    </w:p>
    <w:p>
      <w:pPr>
        <w:pStyle w:val="BodyText"/>
      </w:pPr>
      <w:r>
        <w:t xml:space="preserve">It has been shown that BLK, similar to other members of the Src group of</w:t>
      </w:r>
      <w:r>
        <w:t xml:space="preserve"> </w:t>
      </w:r>
      <w:r>
        <w:t xml:space="preserve">tyrosine kinases (such as Lyn), interacts with BANK1, an</w:t>
      </w:r>
      <w:r>
        <w:t xml:space="preserve"> </w:t>
      </w:r>
      <w:r>
        <w:t xml:space="preserve">adaptor/scaffold protein primarily expressed in B cells</w:t>
      </w:r>
      <w:r>
        <w:t xml:space="preserve"> </w:t>
      </w:r>
      <w:r>
        <w:t xml:space="preserve">(Castillejo-López et al., 2012). Recently, various genome-wide</w:t>
      </w:r>
      <w:r>
        <w:t xml:space="preserve"> </w:t>
      </w:r>
      <w:r>
        <w:t xml:space="preserve">association studies (GWAS) identified different single nucleotide</w:t>
      </w:r>
      <w:r>
        <w:t xml:space="preserve"> </w:t>
      </w:r>
      <w:r>
        <w:t xml:space="preserve">polymorphisms (SNPs) in BLK (rs13277113A/G and rs2736340T/C) and BANK1</w:t>
      </w:r>
      <w:r>
        <w:t xml:space="preserve"> </w:t>
      </w:r>
      <w:r>
        <w:t xml:space="preserve">(rs10516487C/T R61H and rs3733197G/A A383T) to be associated with</w:t>
      </w:r>
      <w:r>
        <w:t xml:space="preserve"> </w:t>
      </w:r>
      <w:r>
        <w:t xml:space="preserve">systemic lupus erythematosus (SLE), firstly in European and</w:t>
      </w:r>
      <w:r>
        <w:t xml:space="preserve"> </w:t>
      </w:r>
      <w:r>
        <w:t xml:space="preserve">Asian-derived populations(Ramírez-Bello et al., 2019). Tumour necrosis</w:t>
      </w:r>
      <w:r>
        <w:t xml:space="preserve"> </w:t>
      </w:r>
      <w:r>
        <w:t xml:space="preserve">factor receptor superfamily 4 (TNFSF4) part of TNF superfamily, and is</w:t>
      </w:r>
      <w:r>
        <w:t xml:space="preserve"> </w:t>
      </w:r>
      <w:r>
        <w:t xml:space="preserve">expressed on dendritic cells, macrophages, cluster of differentiation</w:t>
      </w:r>
      <w:r>
        <w:t xml:space="preserve"> </w:t>
      </w:r>
      <w:r>
        <w:t xml:space="preserve">(CD)4+/CD8+ T cells, activated NK cells and other cells (Murata et al.,</w:t>
      </w:r>
      <w:r>
        <w:t xml:space="preserve"> </w:t>
      </w:r>
      <w:r>
        <w:t xml:space="preserve">2000). Recently research showed that gene‑degree interaction among BLK</w:t>
      </w:r>
      <w:r>
        <w:t xml:space="preserve"> </w:t>
      </w:r>
      <w:r>
        <w:t xml:space="preserve">and TNFSF4 may additionally display a synergistic effect on T cells and</w:t>
      </w:r>
      <w:r>
        <w:t xml:space="preserve"> </w:t>
      </w:r>
      <w:r>
        <w:t xml:space="preserve">B cells thru the nuclear signalling NF‑kB pathway, and this can describe</w:t>
      </w:r>
      <w:r>
        <w:t xml:space="preserve"> </w:t>
      </w:r>
      <w:r>
        <w:t xml:space="preserve">the function in figuring out the immunologic aberration (Shen et al.,</w:t>
      </w:r>
      <w:r>
        <w:t xml:space="preserve"> </w:t>
      </w:r>
      <w:r>
        <w:t xml:space="preserve">2017).</w:t>
      </w:r>
    </w:p>
    <w:p>
      <w:pPr>
        <w:pStyle w:val="BodyText"/>
      </w:pPr>
      <w:r>
        <w:t xml:space="preserve">BLK entails in signal transduction downstream of the B‑cellular</w:t>
      </w:r>
      <w:r>
        <w:t xml:space="preserve"> </w:t>
      </w:r>
      <w:r>
        <w:t xml:space="preserve">receptor; subsequently, it might affect the proliferation and</w:t>
      </w:r>
      <w:r>
        <w:t xml:space="preserve"> </w:t>
      </w:r>
      <w:r>
        <w:t xml:space="preserve">differentiation of B cells. (Harley et al., 2008). For example, SRC is</w:t>
      </w:r>
      <w:r>
        <w:t xml:space="preserve"> </w:t>
      </w:r>
      <w:r>
        <w:t xml:space="preserve">an oncogene concerned in several malignancies which include breast,</w:t>
      </w:r>
      <w:r>
        <w:t xml:space="preserve"> </w:t>
      </w:r>
      <w:r>
        <w:t xml:space="preserve">lung, colon and pancreatic most cancers (Summy &amp; Gallick, 2003).</w:t>
      </w:r>
      <w:r>
        <w:t xml:space="preserve"> </w:t>
      </w:r>
      <w:r>
        <w:t xml:space="preserve">Recently it is shown that the active human blk has an oncogenic property</w:t>
      </w:r>
      <w:r>
        <w:t xml:space="preserve"> </w:t>
      </w:r>
      <w:r>
        <w:t xml:space="preserve">to induce tumours in mice (Petersen et al., 2017). Transgenic mice</w:t>
      </w:r>
      <w:r>
        <w:t xml:space="preserve"> </w:t>
      </w:r>
      <w:r>
        <w:t xml:space="preserve">expressed constantly active murine Blk in their lymphoid organ developed</w:t>
      </w:r>
      <w:r>
        <w:t xml:space="preserve"> </w:t>
      </w:r>
      <w:r>
        <w:t xml:space="preserve">lymphomatous B- and T-cell-like disorders confirming a transforming</w:t>
      </w:r>
      <w:r>
        <w:t xml:space="preserve"> </w:t>
      </w:r>
      <w:r>
        <w:t xml:space="preserve">potential of orthologue murine (Malek et al., 1998).</w:t>
      </w:r>
    </w:p>
    <w:p>
      <w:pPr>
        <w:pStyle w:val="BodyText"/>
      </w:pPr>
      <w:r>
        <w:t xml:space="preserve">The works, however, have never been reviewed. Here, we will try to</w:t>
      </w:r>
      <w:r>
        <w:t xml:space="preserve"> </w:t>
      </w:r>
      <w:r>
        <w:t xml:space="preserve">relate with the function, and their motif is conserved or not, we have</w:t>
      </w:r>
      <w:r>
        <w:t xml:space="preserve"> </w:t>
      </w:r>
      <w:r>
        <w:t xml:space="preserve">compiled for the first time a detailed analysis of all the relevant</w:t>
      </w:r>
      <w:r>
        <w:t xml:space="preserve"> </w:t>
      </w:r>
      <w:r>
        <w:t xml:space="preserve">information for BLK that may be helpful in the understanding of</w:t>
      </w:r>
      <w:r>
        <w:t xml:space="preserve"> </w:t>
      </w:r>
      <w:r>
        <w:t xml:space="preserve">functional importance of BLK in the body system.</w:t>
      </w:r>
    </w:p>
    <w:p>
      <w:pPr>
        <w:pStyle w:val="BodyText"/>
      </w:pPr>
      <w:r>
        <w:rPr>
          <w:b/>
        </w:rPr>
        <w:t xml:space="preserve">Materials and Methods</w:t>
      </w:r>
    </w:p>
    <w:p>
      <w:pPr>
        <w:pStyle w:val="BodyText"/>
      </w:pPr>
      <w:r>
        <w:t xml:space="preserve">We have done various deep analysis on human BLK sequence, homology</w:t>
      </w:r>
      <w:r>
        <w:t xml:space="preserve"> </w:t>
      </w:r>
      <w:r>
        <w:t xml:space="preserve">modelling is the development of an atomic version of a target protein</w:t>
      </w:r>
      <w:r>
        <w:t xml:space="preserve"> </w:t>
      </w:r>
      <w:r>
        <w:t xml:space="preserve">primarily based totally at the goal’s amino acid series and the</w:t>
      </w:r>
      <w:r>
        <w:t xml:space="preserve"> </w:t>
      </w:r>
      <w:r>
        <w:t xml:space="preserve">templates; experimentally determined systems of homologous proteins. In</w:t>
      </w:r>
      <w:r>
        <w:t xml:space="preserve"> </w:t>
      </w:r>
      <w:r>
        <w:t xml:space="preserve">recent years structural biology shifted towards structure-based drug</w:t>
      </w:r>
      <w:r>
        <w:t xml:space="preserve"> </w:t>
      </w:r>
      <w:r>
        <w:t xml:space="preserve">discovery. We have modelled the structure using the techniques of</w:t>
      </w:r>
      <w:r>
        <w:t xml:space="preserve"> </w:t>
      </w:r>
      <w:r>
        <w:t xml:space="preserve">homology modelling (Jacobson et al., 2004; Waterhouse et al., 2018). The</w:t>
      </w:r>
      <w:r>
        <w:t xml:space="preserve"> </w:t>
      </w:r>
      <w:r>
        <w:t xml:space="preserve">structure was pre-processed using the protein preparation wizard and</w:t>
      </w:r>
      <w:r>
        <w:t xml:space="preserve"> </w:t>
      </w:r>
      <w:r>
        <w:t xml:space="preserve">have filled the gap using Prime, the further structure was minimized in</w:t>
      </w:r>
      <w:r>
        <w:t xml:space="preserve"> </w:t>
      </w:r>
      <w:r>
        <w:t xml:space="preserve">terms of its energy using the same wizard for the next step of the</w:t>
      </w:r>
      <w:r>
        <w:t xml:space="preserve"> </w:t>
      </w:r>
      <w:r>
        <w:t xml:space="preserve">analysis. The active site is the region of an enzyme in which substrate</w:t>
      </w:r>
      <w:r>
        <w:t xml:space="preserve"> </w:t>
      </w:r>
      <w:r>
        <w:t xml:space="preserve">molecules bind and go through a chemical reaction. The lively site</w:t>
      </w:r>
      <w:r>
        <w:t xml:space="preserve"> </w:t>
      </w:r>
      <w:r>
        <w:t xml:space="preserve">consists of residues that shape brief bonds with the binding site and</w:t>
      </w:r>
      <w:r>
        <w:t xml:space="preserve"> </w:t>
      </w:r>
      <w:r>
        <w:t xml:space="preserve">residues that catalyse a response of the catalytic site, prediction of</w:t>
      </w:r>
      <w:r>
        <w:t xml:space="preserve"> </w:t>
      </w:r>
      <w:r>
        <w:t xml:space="preserve">the active site of the BLKhave bee done using SiteMap (Singh et al.,</w:t>
      </w:r>
      <w:r>
        <w:t xml:space="preserve"> </w:t>
      </w:r>
      <w:r>
        <w:t xml:space="preserve">2011; Wass et al., 2010) with the specific parameters of more</w:t>
      </w:r>
      <w:r>
        <w:t xml:space="preserve"> </w:t>
      </w:r>
      <w:r>
        <w:t xml:space="preserve">restrictive and standard grid of crops site of 4 maps for the further</w:t>
      </w:r>
      <w:r>
        <w:t xml:space="preserve"> </w:t>
      </w:r>
      <w:r>
        <w:t xml:space="preserve">analysis and have got total of 5 active site. We have also extracted the</w:t>
      </w:r>
      <w:r>
        <w:t xml:space="preserve"> </w:t>
      </w:r>
      <w:r>
        <w:t xml:space="preserve">amino acid distribution throughout the sequence using the ProtParam and</w:t>
      </w:r>
      <w:r>
        <w:t xml:space="preserve"> </w:t>
      </w:r>
      <w:r>
        <w:t xml:space="preserve">got the CSV format data after that we have performed various analysis in</w:t>
      </w:r>
      <w:r>
        <w:t xml:space="preserve"> </w:t>
      </w:r>
      <w:r>
        <w:t xml:space="preserve">terms of statistical analysis and have plotted the data for the quick</w:t>
      </w:r>
      <w:r>
        <w:t xml:space="preserve"> </w:t>
      </w:r>
      <w:r>
        <w:t xml:space="preserve">understanding of the BLK. ProtParam lets in the computation of diverse</w:t>
      </w:r>
      <w:r>
        <w:t xml:space="preserve"> </w:t>
      </w:r>
      <w:r>
        <w:t xml:space="preserve">bodily and chemical parameters such as molecular weight, theoretical pI,</w:t>
      </w:r>
      <w:r>
        <w:t xml:space="preserve"> </w:t>
      </w:r>
      <w:r>
        <w:t xml:space="preserve">amino acid composition, atomic composition, extinction coefficient,</w:t>
      </w:r>
      <w:r>
        <w:t xml:space="preserve"> </w:t>
      </w:r>
      <w:r>
        <w:t xml:space="preserve">estimated half-life, instability index, aliphatic index and grand</w:t>
      </w:r>
      <w:r>
        <w:t xml:space="preserve"> </w:t>
      </w:r>
      <w:r>
        <w:t xml:space="preserve">average of hydropathicity for a given protein saved in Swiss-Prot or</w:t>
      </w:r>
      <w:r>
        <w:t xml:space="preserve"> </w:t>
      </w:r>
      <w:r>
        <w:t xml:space="preserve">TrEMBL or for a user-entered protein sequence(Gasteiger et al., 2005).</w:t>
      </w:r>
      <w:r>
        <w:t xml:space="preserve"> </w:t>
      </w:r>
      <w:r>
        <w:t xml:space="preserve">Secondary structure of the protein has been predicted using emboss</w:t>
      </w:r>
      <w:r>
        <w:t xml:space="preserve"> </w:t>
      </w:r>
      <w:r>
        <w:t xml:space="preserve">(Garnier et al., 1978). GeneCards server was used for the categorisation</w:t>
      </w:r>
      <w:r>
        <w:t xml:space="preserve"> </w:t>
      </w:r>
      <w:r>
        <w:t xml:space="preserve">of mRNA expression level in different human tissues. Antigenic regions</w:t>
      </w:r>
      <w:r>
        <w:t xml:space="preserve"> </w:t>
      </w:r>
      <w:r>
        <w:t xml:space="preserve">on protein defined a lot about inhibitors and the future research scope</w:t>
      </w:r>
      <w:r>
        <w:t xml:space="preserve"> </w:t>
      </w:r>
      <w:r>
        <w:t xml:space="preserve">on that particular protein. In our studies Emboss was used for the</w:t>
      </w:r>
      <w:r>
        <w:t xml:space="preserve"> </w:t>
      </w:r>
      <w:r>
        <w:t xml:space="preserve">extraction of the antigenic region and Geneious prime was used for the</w:t>
      </w:r>
      <w:r>
        <w:t xml:space="preserve"> </w:t>
      </w:r>
      <w:r>
        <w:t xml:space="preserve">plotting of the data. Additionally, we have also used InterProScan for</w:t>
      </w:r>
      <w:r>
        <w:t xml:space="preserve"> </w:t>
      </w:r>
      <w:r>
        <w:t xml:space="preserve">the characterisation of the domains on the surface of BLK for better</w:t>
      </w:r>
      <w:r>
        <w:t xml:space="preserve"> </w:t>
      </w:r>
      <w:r>
        <w:t xml:space="preserve">functional understanding. We have collected BLK from thousands of</w:t>
      </w:r>
      <w:r>
        <w:t xml:space="preserve"> </w:t>
      </w:r>
      <w:r>
        <w:t xml:space="preserve">species and have mined the best, based on the characterisation and have</w:t>
      </w:r>
      <w:r>
        <w:t xml:space="preserve"> </w:t>
      </w:r>
      <w:r>
        <w:t xml:space="preserve">taken the only largest size of BLK from every species and got a total of</w:t>
      </w:r>
      <w:r>
        <w:t xml:space="preserve"> </w:t>
      </w:r>
      <w:r>
        <w:t xml:space="preserve">324 species. Further data have been aligned using MAFFT v7.450 Alignment</w:t>
      </w:r>
      <w:r>
        <w:t xml:space="preserve"> </w:t>
      </w:r>
      <w:r>
        <w:t xml:space="preserve">(Rozewicki et al., 2019). We have used FFT-NS-1 and 200PAM/k=2 as main</w:t>
      </w:r>
      <w:r>
        <w:t xml:space="preserve"> </w:t>
      </w:r>
      <w:r>
        <w:t xml:space="preserve">principle parameters and have got comparative annotations of every</w:t>
      </w:r>
      <w:r>
        <w:t xml:space="preserve"> </w:t>
      </w:r>
      <w:r>
        <w:t xml:space="preserve">aspect of the various BLK. Geneious Tree has performed for the plotting</w:t>
      </w:r>
      <w:r>
        <w:t xml:space="preserve"> </w:t>
      </w:r>
      <w:r>
        <w:t xml:space="preserve">of the tree with automatic direction determiner. Further, Itol server</w:t>
      </w:r>
      <w:r>
        <w:t xml:space="preserve"> </w:t>
      </w:r>
      <w:r>
        <w:t xml:space="preserve">(Letunic &amp; Bork, 2019) used for editing of a phylogenetic tree for</w:t>
      </w:r>
      <w:r>
        <w:t xml:space="preserve"> </w:t>
      </w:r>
      <w:r>
        <w:t xml:space="preserve">better understanding with its annotation characterization and</w:t>
      </w:r>
      <w:r>
        <w:t xml:space="preserve"> </w:t>
      </w:r>
      <w:r>
        <w:t xml:space="preserve">bootstrapping.</w:t>
      </w:r>
    </w:p>
    <w:p>
      <w:pPr>
        <w:pStyle w:val="BodyText"/>
      </w:pPr>
      <w:r>
        <w:rPr>
          <w:b/>
        </w:rPr>
        <w:t xml:space="preserve">Result and Discussion</w:t>
      </w:r>
    </w:p>
    <w:p>
      <w:pPr>
        <w:pStyle w:val="BodyText"/>
      </w:pPr>
      <w:r>
        <w:rPr>
          <w:b/>
        </w:rPr>
        <w:t xml:space="preserve">Global reports on BLK</w:t>
      </w:r>
    </w:p>
    <w:p>
      <w:pPr>
        <w:pStyle w:val="BodyText"/>
      </w:pPr>
      <w:r>
        <w:t xml:space="preserve">There are many platforms for the scientific reporting about any</w:t>
      </w:r>
      <w:r>
        <w:t xml:space="preserve"> </w:t>
      </w:r>
      <w:r>
        <w:t xml:space="preserve">biological issues, PubMed considered one of the best databases to enlist</w:t>
      </w:r>
      <w:r>
        <w:t xml:space="preserve"> </w:t>
      </w:r>
      <w:r>
        <w:t xml:space="preserve">the manuscript data and other databases of NCBI for the biological</w:t>
      </w:r>
      <w:r>
        <w:t xml:space="preserve"> </w:t>
      </w:r>
      <w:r>
        <w:t xml:space="preserve">issues such as the genome, nucleotide gene etc. We have collected the</w:t>
      </w:r>
      <w:r>
        <w:t xml:space="preserve"> </w:t>
      </w:r>
      <w:r>
        <w:t xml:space="preserve">data of PubMed and plotted the data with few mining techniques for</w:t>
      </w:r>
      <w:r>
        <w:t xml:space="preserve"> </w:t>
      </w:r>
      <w:r>
        <w:t xml:space="preserve">understanding its importance in the scientific community. From the NCBI</w:t>
      </w:r>
      <w:r>
        <w:t xml:space="preserve"> </w:t>
      </w:r>
      <w:r>
        <w:t xml:space="preserve">website, we have downloaded the publications on Schizont egress antigen</w:t>
      </w:r>
      <w:r>
        <w:t xml:space="preserve"> </w:t>
      </w:r>
      <w:r>
        <w:t xml:space="preserve">and classified them based on its publication year. We identified a total</w:t>
      </w:r>
      <w:r>
        <w:t xml:space="preserve"> </w:t>
      </w:r>
      <w:r>
        <w:t xml:space="preserve">number of 1046 of publications on BLK, we have seen scientists are</w:t>
      </w:r>
      <w:r>
        <w:t xml:space="preserve"> </w:t>
      </w:r>
      <w:r>
        <w:t xml:space="preserve">taking their interest on this kinase from the year of 1992 but because</w:t>
      </w:r>
      <w:r>
        <w:t xml:space="preserve"> </w:t>
      </w:r>
      <w:r>
        <w:t xml:space="preserve">of lack of techniques, there were very few reports they have been</w:t>
      </w:r>
      <w:r>
        <w:t xml:space="preserve"> </w:t>
      </w:r>
      <w:r>
        <w:t xml:space="preserve">published before 1992. After the 2000s, the number of publications</w:t>
      </w:r>
      <w:r>
        <w:t xml:space="preserve"> </w:t>
      </w:r>
      <w:r>
        <w:t xml:space="preserve">increased exponentially. Every year the number of publications is</w:t>
      </w:r>
      <w:r>
        <w:t xml:space="preserve"> </w:t>
      </w:r>
      <w:r>
        <w:t xml:space="preserve">growing two-fold. In the year 2017, it was highest with the 85</w:t>
      </w:r>
      <w:r>
        <w:t xml:space="preserve"> </w:t>
      </w:r>
      <w:r>
        <w:t xml:space="preserve">publications, which has been represented in Fig. 1. From the above</w:t>
      </w:r>
      <w:r>
        <w:t xml:space="preserve"> </w:t>
      </w:r>
      <w:r>
        <w:t xml:space="preserve">observation, we can find interest in this particular kinase.</w:t>
      </w:r>
    </w:p>
    <w:p>
      <w:pPr>
        <w:pStyle w:val="BodyText"/>
      </w:pPr>
      <w:r>
        <w:rPr>
          <w:b/>
        </w:rPr>
        <w:t xml:space="preserve">Fig. 1</w:t>
      </w:r>
      <w:r>
        <w:t xml:space="preserve"> </w:t>
      </w:r>
      <w:r>
        <w:t xml:space="preserve">Year-wise publication of BLK in PubMed</w:t>
      </w:r>
    </w:p>
    <w:p>
      <w:pPr>
        <w:pStyle w:val="BodyText"/>
      </w:pPr>
      <w:r>
        <w:rPr>
          <w:b/>
        </w:rPr>
        <w:t xml:space="preserve">Sequence analysis of the BLK</w:t>
      </w:r>
    </w:p>
    <w:p>
      <w:pPr>
        <w:pStyle w:val="BodyText"/>
      </w:pPr>
      <w:r>
        <w:t xml:space="preserve">We have retrieved the data of Human BLK from uniport</w:t>
      </w:r>
      <w:r>
        <w:t xml:space="preserve"> </w:t>
      </w:r>
      <w:r>
        <w:t xml:space="preserve">(https://www.uniprot.org/uniprot/P51451) and analysed the sequence of</w:t>
      </w:r>
      <w:r>
        <w:t xml:space="preserve"> </w:t>
      </w:r>
      <w:r>
        <w:t xml:space="preserve">BLK using Geneious Prime (https://www.geneious.com/prime/) for the basic</w:t>
      </w:r>
      <w:r>
        <w:t xml:space="preserve"> </w:t>
      </w:r>
      <w:r>
        <w:t xml:space="preserve">quality assessment. Our sequence is having charge of 2.21 at pH 7 and</w:t>
      </w:r>
      <w:r>
        <w:t xml:space="preserve"> </w:t>
      </w:r>
      <w:r>
        <w:t xml:space="preserve">isoelectric point is 7.61. Frequency of Acidic residues is 66 which is</w:t>
      </w:r>
      <w:r>
        <w:t xml:space="preserve"> </w:t>
      </w:r>
      <w:r>
        <w:t xml:space="preserve">13.1% of the sequence, frequency of basic residues is 76 which is 15%,</w:t>
      </w:r>
      <w:r>
        <w:t xml:space="preserve"> </w:t>
      </w:r>
      <w:r>
        <w:t xml:space="preserve">Polarly uncharged and charged are 121 and 142 which are 24% and 28.1%</w:t>
      </w:r>
      <w:r>
        <w:t xml:space="preserve"> </w:t>
      </w:r>
      <w:r>
        <w:t xml:space="preserve">respectively. Hydrophobic residues are 252 in number which is making</w:t>
      </w:r>
      <w:r>
        <w:t xml:space="preserve"> </w:t>
      </w:r>
      <w:r>
        <w:t xml:space="preserve">49.9% of the total sequence.ProtParam (Gasteiger et al., 2005), EMBOSS</w:t>
      </w:r>
      <w:r>
        <w:t xml:space="preserve"> </w:t>
      </w:r>
      <w:r>
        <w:t xml:space="preserve">plugin (Rice, Longden, &amp; Bleasby, 2000)and have arranged the data using</w:t>
      </w:r>
      <w:r>
        <w:t xml:space="preserve"> </w:t>
      </w:r>
      <w:r>
        <w:t xml:space="preserve">excel and plotted using tableau. Computer-based clustering analysis of</w:t>
      </w:r>
      <w:r>
        <w:t xml:space="preserve"> </w:t>
      </w:r>
      <w:r>
        <w:t xml:space="preserve">kinase is picking up in significance as an expository apparatus, it is</w:t>
      </w:r>
      <w:r>
        <w:t xml:space="preserve"> </w:t>
      </w:r>
      <w:r>
        <w:t xml:space="preserve">getting conventional for the investigation because of the accessibility</w:t>
      </w:r>
      <w:r>
        <w:t xml:space="preserve"> </w:t>
      </w:r>
      <w:r>
        <w:t xml:space="preserve">of quick increment in the succession.In a complete sequence of analysis</w:t>
      </w:r>
      <w:r>
        <w:t xml:space="preserve"> </w:t>
      </w:r>
      <w:r>
        <w:t xml:space="preserve">of BLK, we have found, Lysine is having the highest frequency of total</w:t>
      </w:r>
      <w:r>
        <w:t xml:space="preserve"> </w:t>
      </w:r>
      <w:r>
        <w:t xml:space="preserve">68 times and Arginine is second highest of 66residues and both are</w:t>
      </w:r>
      <w:r>
        <w:t xml:space="preserve"> </w:t>
      </w:r>
      <w:r>
        <w:t xml:space="preserve">negatively charged. Cysteine (sulphur-containing amino acid) and</w:t>
      </w:r>
      <w:r>
        <w:t xml:space="preserve"> </w:t>
      </w:r>
      <w:r>
        <w:t xml:space="preserve">histidine which considered to be an inflammatory agent in immune</w:t>
      </w:r>
      <w:r>
        <w:t xml:space="preserve"> </w:t>
      </w:r>
      <w:r>
        <w:t xml:space="preserve">response whichare the lowest occurring amino acid andare eight in</w:t>
      </w:r>
      <w:r>
        <w:t xml:space="preserve"> </w:t>
      </w:r>
      <w:r>
        <w:t xml:space="preserve">numbers (Fig. 2).</w:t>
      </w:r>
    </w:p>
    <w:p>
      <w:pPr>
        <w:pStyle w:val="BodyText"/>
      </w:pPr>
      <w:r>
        <w:rPr>
          <w:b/>
        </w:rPr>
        <w:t xml:space="preserve">Fig. 2</w:t>
      </w:r>
      <w:r>
        <w:t xml:space="preserve"> </w:t>
      </w:r>
      <w:r>
        <w:t xml:space="preserve">Amino acid distribution throughout the sequence of BLK</w:t>
      </w:r>
    </w:p>
    <w:p>
      <w:pPr>
        <w:pStyle w:val="BodyText"/>
      </w:pPr>
      <w:r>
        <w:rPr>
          <w:b/>
        </w:rPr>
        <w:t xml:space="preserve">Secondary structure prediction</w:t>
      </w:r>
    </w:p>
    <w:p>
      <w:pPr>
        <w:pStyle w:val="BodyText"/>
      </w:pPr>
      <w:r>
        <w:t xml:space="preserve">Structural analysis is one of the major fields and it helped in the</w:t>
      </w:r>
      <w:r>
        <w:t xml:space="preserve"> </w:t>
      </w:r>
      <w:r>
        <w:t xml:space="preserve">identification of many ligand molecules for the proper binding with the</w:t>
      </w:r>
      <w:r>
        <w:t xml:space="preserve"> </w:t>
      </w:r>
      <w:r>
        <w:t xml:space="preserve">receptor (Sliwoski et al., 2014; Kaul et al., 2019). We have got the 23</w:t>
      </w:r>
      <w:r>
        <w:t xml:space="preserve"> </w:t>
      </w:r>
      <w:r>
        <w:t xml:space="preserve">alpha-helix which considered energetically favourable for</w:t>
      </w:r>
      <w:r>
        <w:t xml:space="preserve"> </w:t>
      </w:r>
      <w:r>
        <w:t xml:space="preserve">hydrogen-bonding, 29 beta-strand which are generically more rigid than</w:t>
      </w:r>
      <w:r>
        <w:t xml:space="preserve"> </w:t>
      </w:r>
      <w:r>
        <w:t xml:space="preserve">other components, 36 coils and 36 turns which considered to contain</w:t>
      </w:r>
      <w:r>
        <w:t xml:space="preserve"> </w:t>
      </w:r>
      <w:r>
        <w:t xml:space="preserve">unusual conformational abilities. We have plotted sequence and secondary</w:t>
      </w:r>
      <w:r>
        <w:t xml:space="preserve"> </w:t>
      </w:r>
      <w:r>
        <w:t xml:space="preserve">structure parallelly using Geneious prime (Geneious 2020.0.5</w:t>
      </w:r>
      <w:r>
        <w:t xml:space="preserve"> </w:t>
      </w:r>
      <w:r>
        <w:t xml:space="preserve">(https://www.geneious.com)) (Fig. 3). We have got the length ranges from</w:t>
      </w:r>
      <w:r>
        <w:t xml:space="preserve"> </w:t>
      </w:r>
      <w:r>
        <w:t xml:space="preserve">2-27 and the maximum length of the alpha helix is from 357-383. Beta</w:t>
      </w:r>
      <w:r>
        <w:t xml:space="preserve"> </w:t>
      </w:r>
      <w:r>
        <w:t xml:space="preserve">strand is showing the length complexity from 1-14. While the turn and</w:t>
      </w:r>
      <w:r>
        <w:t xml:space="preserve"> </w:t>
      </w:r>
      <w:r>
        <w:t xml:space="preserve">coil are showing the length ranges from 1-7 residues (Fig. 4) Aloha</w:t>
      </w:r>
      <w:r>
        <w:t xml:space="preserve"> </w:t>
      </w:r>
      <w:r>
        <w:t xml:space="preserve">helix are made more hydrogen bonds while the beta-strand are giving high</w:t>
      </w:r>
      <w:r>
        <w:t xml:space="preserve"> </w:t>
      </w:r>
      <w:r>
        <w:t xml:space="preserve">stability to the structure. From Ramachandran plot, we have found there</w:t>
      </w:r>
      <w:r>
        <w:t xml:space="preserve"> </w:t>
      </w:r>
      <w:r>
        <w:t xml:space="preserve">is Cis proline is present which is 2/24 (A306 GLU-A307 PRO), (A504</w:t>
      </w:r>
      <w:r>
        <w:t xml:space="preserve"> </w:t>
      </w:r>
      <w:r>
        <w:t xml:space="preserve">GLN-A505 PRO) and Ramachandran outliers which is 1.13% A501 TYR, A500</w:t>
      </w:r>
      <w:r>
        <w:t xml:space="preserve"> </w:t>
      </w:r>
      <w:r>
        <w:t xml:space="preserve">GLN, A496 ALA, A386 ASP, A142 ILE.</w:t>
      </w:r>
    </w:p>
    <w:p>
      <w:pPr>
        <w:pStyle w:val="BodyText"/>
      </w:pPr>
      <w:r>
        <w:rPr>
          <w:b/>
        </w:rPr>
        <w:t xml:space="preserve">Fig. 3</w:t>
      </w:r>
      <w:r>
        <w:t xml:space="preserve"> </w:t>
      </w:r>
      <w:r>
        <w:t xml:space="preserve">Count of Secondary structure components</w:t>
      </w:r>
    </w:p>
    <w:p>
      <w:pPr>
        <w:pStyle w:val="BodyText"/>
      </w:pPr>
      <w:r>
        <w:rPr>
          <w:b/>
        </w:rPr>
        <w:t xml:space="preserve">Fig. 4</w:t>
      </w:r>
      <w:r>
        <w:t xml:space="preserve"> </w:t>
      </w:r>
      <w:r>
        <w:t xml:space="preserve">Secondary structure of Human BLK</w:t>
      </w:r>
    </w:p>
    <w:p>
      <w:pPr>
        <w:pStyle w:val="BodyText"/>
      </w:pPr>
      <w:r>
        <w:rPr>
          <w:b/>
        </w:rPr>
        <w:t xml:space="preserve">Homology modelling</w:t>
      </w:r>
    </w:p>
    <w:p>
      <w:pPr>
        <w:pStyle w:val="BodyText"/>
      </w:pPr>
      <w:r>
        <w:t xml:space="preserve">The Crystal structure of human BLK was not available on RCSB PDB</w:t>
      </w:r>
      <w:r>
        <w:t xml:space="preserve"> </w:t>
      </w:r>
      <w:r>
        <w:t xml:space="preserve">databases, hence its secondary structure was predicted from its primary</w:t>
      </w:r>
      <w:r>
        <w:t xml:space="preserve"> </w:t>
      </w:r>
      <w:r>
        <w:t xml:space="preserve">sequence. We have done the homology modelling of Human BLK, for its</w:t>
      </w:r>
      <w:r>
        <w:t xml:space="preserve"> </w:t>
      </w:r>
      <w:r>
        <w:t xml:space="preserve">further accuracy confirmation it was necessary to analyze its various</w:t>
      </w:r>
      <w:r>
        <w:t xml:space="preserve"> </w:t>
      </w:r>
      <w:r>
        <w:t xml:space="preserve">structural properties. So, we have used the Schrodinger suite</w:t>
      </w:r>
      <w:r>
        <w:t xml:space="preserve"> </w:t>
      </w:r>
      <w:r>
        <w:t xml:space="preserve">(Schrödinger, 2016) for the modelling and minimized the structure in</w:t>
      </w:r>
      <w:r>
        <w:t xml:space="preserve"> </w:t>
      </w:r>
      <w:r>
        <w:t xml:space="preserve">protein preparation wizard and predicted active site on BLK.</w:t>
      </w:r>
    </w:p>
    <w:p>
      <w:pPr>
        <w:pStyle w:val="BodyText"/>
      </w:pPr>
      <w:r>
        <w:t xml:space="preserve">The length of blk is 505 amino acids and the molecular weight is 57706</w:t>
      </w:r>
      <w:r>
        <w:t xml:space="preserve"> </w:t>
      </w:r>
      <w:r>
        <w:t xml:space="preserve">Da. We modelled three- dimensional structure of blk by using</w:t>
      </w:r>
      <w:r>
        <w:t xml:space="preserve"> </w:t>
      </w:r>
      <w:r>
        <w:t xml:space="preserve">Schrodinger’s Prime (Jacobson et al., 2004) (Fig. 5A) and have got the</w:t>
      </w:r>
      <w:r>
        <w:t xml:space="preserve"> </w:t>
      </w:r>
      <w:r>
        <w:t xml:space="preserve">sequence identity of 69.98. The Ramachandran Z-score value of the model</w:t>
      </w:r>
      <w:r>
        <w:t xml:space="preserve"> </w:t>
      </w:r>
      <w:r>
        <w:t xml:space="preserve">is -1.182, the model is found to be related to HAEMATOPOETIC CELL KINASE</w:t>
      </w:r>
      <w:r>
        <w:t xml:space="preserve"> </w:t>
      </w:r>
      <w:r>
        <w:t xml:space="preserve">(HCK). GMQE of the model is 0.77. Favoured by Ramachandran plot which is</w:t>
      </w:r>
      <w:r>
        <w:t xml:space="preserve"> </w:t>
      </w:r>
      <w:r>
        <w:t xml:space="preserve">95.25% (Fig. 7). The active site has been predicted using Schrodinger’s</w:t>
      </w:r>
      <w:r>
        <w:t xml:space="preserve"> </w:t>
      </w:r>
      <w:r>
        <w:t xml:space="preserve">SiteMap (Halgren, 2009). We have got a total of 5 active sites on Human</w:t>
      </w:r>
      <w:r>
        <w:t xml:space="preserve"> </w:t>
      </w:r>
      <w:r>
        <w:t xml:space="preserve">BLK. The best binding site for the ligand has shown in Fig. 5B.</w:t>
      </w:r>
    </w:p>
    <w:p>
      <w:pPr>
        <w:pStyle w:val="BodyText"/>
      </w:pPr>
      <w:r>
        <w:rPr>
          <w:b/>
        </w:rPr>
        <w:t xml:space="preserve">Fig. 5</w:t>
      </w:r>
      <w:r>
        <w:t xml:space="preserve"> </w:t>
      </w:r>
      <w:r>
        <w:t xml:space="preserve">(A) Homology model of BLK, (B) Predicted active site</w:t>
      </w:r>
    </w:p>
    <w:p>
      <w:pPr>
        <w:pStyle w:val="BodyText"/>
      </w:pPr>
      <w:r>
        <w:rPr>
          <w:b/>
        </w:rPr>
        <w:t xml:space="preserve">Molecular Dynamic Simulation</w:t>
      </w:r>
    </w:p>
    <w:p>
      <w:pPr>
        <w:pStyle w:val="BodyText"/>
      </w:pPr>
      <w:r>
        <w:t xml:space="preserve">Protein structure refinement is an essential component and is the</w:t>
      </w:r>
      <w:r>
        <w:t xml:space="preserve"> </w:t>
      </w:r>
      <w:r>
        <w:t xml:space="preserve">process of improving the qualities of modelled protein structures to</w:t>
      </w:r>
      <w:r>
        <w:t xml:space="preserve"> </w:t>
      </w:r>
      <w:r>
        <w:t xml:space="preserve">approximate them r to their native states. Thus, to improve our modelled</w:t>
      </w:r>
      <w:r>
        <w:t xml:space="preserve"> </w:t>
      </w:r>
      <w:r>
        <w:t xml:space="preserve">structure of BLK, we employed molecular dynamics (MD) simulations using</w:t>
      </w:r>
      <w:r>
        <w:t xml:space="preserve"> </w:t>
      </w:r>
      <w:r>
        <w:t xml:space="preserve">two well-known software namely – Visual Molecular Dynamics (VMD)</w:t>
      </w:r>
      <w:r>
        <w:t xml:space="preserve"> </w:t>
      </w:r>
      <w:r>
        <w:t xml:space="preserve">(Humphrey et al, 1996), which is a molecular graphics tool designed for</w:t>
      </w:r>
      <w:r>
        <w:t xml:space="preserve"> </w:t>
      </w:r>
      <w:r>
        <w:t xml:space="preserve">the display and analysis of molecular structures, and i3DRefine software</w:t>
      </w:r>
      <w:r>
        <w:t xml:space="preserve"> </w:t>
      </w:r>
      <w:r>
        <w:t xml:space="preserve">(Bhattacharya &amp; Cheng, 2013) for the fulfilment of stabilization. Our</w:t>
      </w:r>
      <w:r>
        <w:t xml:space="preserve"> </w:t>
      </w:r>
      <w:r>
        <w:t xml:space="preserve">analysis has shown to refine the originally modelled structure of BLK to</w:t>
      </w:r>
      <w:r>
        <w:t xml:space="preserve"> </w:t>
      </w:r>
      <w:r>
        <w:t xml:space="preserve">approximately ~90%. The refined structure has a</w:t>
      </w:r>
      <w:r>
        <w:t xml:space="preserve"> </w:t>
      </w:r>
      <w:r>
        <w:t xml:space="preserve">MolProbity score of 9.7, clash score of 0.5, Ramachandran favoured</w:t>
      </w:r>
      <w:r>
        <w:t xml:space="preserve"> </w:t>
      </w:r>
      <w:r>
        <w:t xml:space="preserve">regions have significantly improved to be 98.2 with no poor rotamers.</w:t>
      </w:r>
      <w:r>
        <w:t xml:space="preserve"> </w:t>
      </w:r>
      <w:r>
        <w:t xml:space="preserve">Fig. 6 depicts the two refined structures of human BLK protein a) using</w:t>
      </w:r>
      <w:r>
        <w:t xml:space="preserve"> </w:t>
      </w:r>
      <w:r>
        <w:t xml:space="preserve">VMD and b) using i3DRefine software respectively.</w:t>
      </w:r>
    </w:p>
    <w:p>
      <w:pPr>
        <w:pStyle w:val="BodyText"/>
      </w:pPr>
      <w:r>
        <w:rPr>
          <w:b/>
        </w:rPr>
        <w:t xml:space="preserve">Fig 6.</w:t>
      </w:r>
      <w:r>
        <w:t xml:space="preserve"> </w:t>
      </w:r>
      <w:r>
        <w:t xml:space="preserve">Refined BLK structures a) VMD refined structure and b)</w:t>
      </w:r>
      <w:r>
        <w:t xml:space="preserve"> </w:t>
      </w:r>
      <w:r>
        <w:t xml:space="preserve">i3DRefine refined structure.</w:t>
      </w:r>
    </w:p>
    <w:p>
      <w:pPr>
        <w:pStyle w:val="BodyText"/>
      </w:pPr>
      <w:r>
        <w:rPr>
          <w:b/>
        </w:rPr>
        <w:t xml:space="preserve">Table 1.</w:t>
      </w:r>
      <w:r>
        <w:t xml:space="preserve"> </w:t>
      </w:r>
      <w:r>
        <w:t xml:space="preserve">Results of refinement software(s) for refined BLK</w:t>
      </w:r>
      <w:r>
        <w:t xml:space="preserve"> </w:t>
      </w:r>
      <w:r>
        <w:t xml:space="preserve">protein structure.</w:t>
      </w:r>
    </w:p>
    <w:p>
      <w:pPr>
        <w:pStyle w:val="BodyText"/>
      </w:pPr>
      <w:r>
        <w:rPr>
          <w:b/>
        </w:rPr>
        <w:t xml:space="preserve">Fig. 7</w:t>
      </w:r>
      <w:r>
        <w:t xml:space="preserve"> </w:t>
      </w:r>
      <w:r>
        <w:t xml:space="preserve">Ramachandran Plot for BLK</w:t>
      </w:r>
    </w:p>
    <w:p>
      <w:pPr>
        <w:pStyle w:val="BodyText"/>
      </w:pPr>
      <w:r>
        <w:rPr>
          <w:b/>
        </w:rPr>
        <w:t xml:space="preserve">Site of Expression</w:t>
      </w:r>
    </w:p>
    <w:p>
      <w:pPr>
        <w:pStyle w:val="BodyText"/>
      </w:pPr>
      <w:r>
        <w:t xml:space="preserve">B-cellular receptor (BCR) signalling requires tight law of numerous</w:t>
      </w:r>
      <w:r>
        <w:t xml:space="preserve"> </w:t>
      </w:r>
      <w:r>
        <w:t xml:space="preserve">protein tyrosine kinases and phosphatases and associated coreceptors.</w:t>
      </w:r>
      <w:r>
        <w:t xml:space="preserve"> </w:t>
      </w:r>
      <w:r>
        <w:t xml:space="preserve">B-mobile antigen receptor binds to the antigen triggers signalling that</w:t>
      </w:r>
      <w:r>
        <w:t xml:space="preserve"> </w:t>
      </w:r>
      <w:r>
        <w:t xml:space="preserve">causes B-cell activation. BLK in signalling has a numerous position like</w:t>
      </w:r>
      <w:r>
        <w:t xml:space="preserve"> </w:t>
      </w:r>
      <w:r>
        <w:t xml:space="preserve">transmitting indicators via floor immunoglobulins and leads pro-B to</w:t>
      </w:r>
      <w:r>
        <w:t xml:space="preserve"> </w:t>
      </w:r>
      <w:r>
        <w:t xml:space="preserve">pre-B conversion, and signalling for growth arresting and apoptotic</w:t>
      </w:r>
      <w:r>
        <w:t xml:space="preserve"> </w:t>
      </w:r>
      <w:r>
        <w:t xml:space="preserve">downstream of the B-cell receptor. It binds specifically and</w:t>
      </w:r>
      <w:r>
        <w:t xml:space="preserve"> </w:t>
      </w:r>
      <w:r>
        <w:t xml:space="preserve">phosphorylates the CD79A at ’Tyr-188’ and ’Tyr-199’, also CD79B at</w:t>
      </w:r>
      <w:r>
        <w:t xml:space="preserve"> </w:t>
      </w:r>
      <w:r>
        <w:t xml:space="preserve">’Tyr-196’ and ’Tyr-207’ and Signalling additionally phosphorylates the</w:t>
      </w:r>
      <w:r>
        <w:t xml:space="preserve"> </w:t>
      </w:r>
      <w:r>
        <w:t xml:space="preserve">IgG receptors FCGR2A, FCGR2B and FCGR2C (Bewarder et al., 1996). This</w:t>
      </w:r>
      <w:r>
        <w:t xml:space="preserve"> </w:t>
      </w:r>
      <w:r>
        <w:t xml:space="preserve">additionally results in BTK activation by not directly stimulating BTK</w:t>
      </w:r>
      <w:r>
        <w:t xml:space="preserve"> </w:t>
      </w:r>
      <w:r>
        <w:t xml:space="preserve">intramolecular autophosphorylation. In islets of the pancreas, it acts</w:t>
      </w:r>
      <w:r>
        <w:t xml:space="preserve"> </w:t>
      </w:r>
      <w:r>
        <w:t xml:space="preserve">as a regulator of beta-cells characteristic via the up-regulation of</w:t>
      </w:r>
      <w:r>
        <w:t xml:space="preserve"> </w:t>
      </w:r>
      <w:r>
        <w:t xml:space="preserve">PDX1 and NKX6-1 and leads to stimulation of insulin secretion within the</w:t>
      </w:r>
      <w:r>
        <w:t xml:space="preserve"> </w:t>
      </w:r>
      <w:r>
        <w:t xml:space="preserve">presence of glucose(Fishilevich et al., 2016). Phosphorylates CGAS, and</w:t>
      </w:r>
      <w:r>
        <w:t xml:space="preserve"> </w:t>
      </w:r>
      <w:r>
        <w:t xml:space="preserve">promote retention of CGAS inside the cytosol (Liu et al., 2018). The</w:t>
      </w:r>
      <w:r>
        <w:t xml:space="preserve"> </w:t>
      </w:r>
      <w:r>
        <w:t xml:space="preserve">expression of signalling is under the manipulate of NF-kappa-B and the</w:t>
      </w:r>
      <w:r>
        <w:t xml:space="preserve"> </w:t>
      </w:r>
      <w:r>
        <w:t xml:space="preserve">B-cell particular transcription factors PAX5 and EBF1(Akerblad &amp;</w:t>
      </w:r>
      <w:r>
        <w:t xml:space="preserve"> </w:t>
      </w:r>
      <w:r>
        <w:t xml:space="preserve">Sigvardsson, 1999). The steady-state state of BLK expression showed no</w:t>
      </w:r>
      <w:r>
        <w:t xml:space="preserve"> </w:t>
      </w:r>
      <w:r>
        <w:t xml:space="preserve">obvious correlation with the mode of B cell transformation. Expression</w:t>
      </w:r>
      <w:r>
        <w:t xml:space="preserve"> </w:t>
      </w:r>
      <w:r>
        <w:t xml:space="preserve">in these cell lines is therefore not an aberrancy related to a</w:t>
      </w:r>
      <w:r>
        <w:t xml:space="preserve"> </w:t>
      </w:r>
      <w:r>
        <w:t xml:space="preserve">particular process of transformation, nor is it likely to completely</w:t>
      </w:r>
      <w:r>
        <w:t xml:space="preserve"> </w:t>
      </w:r>
      <w:r>
        <w:t xml:space="preserve">allow the transformed phenotype. Expression of BLK turned into</w:t>
      </w:r>
      <w:r>
        <w:t xml:space="preserve"> </w:t>
      </w:r>
      <w:r>
        <w:t xml:space="preserve">discovered in B cell precursors as well as in cellular lines consultant</w:t>
      </w:r>
      <w:r>
        <w:t xml:space="preserve"> </w:t>
      </w:r>
      <w:r>
        <w:t xml:space="preserve">of mature B cells, suggesting that during B cellular ontogeny, BLK is</w:t>
      </w:r>
      <w:r>
        <w:t xml:space="preserve"> </w:t>
      </w:r>
      <w:r>
        <w:t xml:space="preserve">expressed before the advent of surface immunoglobulin (Fig. 8). The B</w:t>
      </w:r>
      <w:r>
        <w:t xml:space="preserve"> </w:t>
      </w:r>
      <w:r>
        <w:t xml:space="preserve">lymphoid cell specificity of blk expression distinguishes it from the</w:t>
      </w:r>
      <w:r>
        <w:t xml:space="preserve"> </w:t>
      </w:r>
      <w:r>
        <w:t xml:space="preserve">three other individuals of the Src own family which might be</w:t>
      </w:r>
      <w:r>
        <w:t xml:space="preserve"> </w:t>
      </w:r>
      <w:r>
        <w:t xml:space="preserve">preferentially expressed in hematopoietic cells: LCK, FGR, and HCK.B</w:t>
      </w:r>
      <w:r>
        <w:t xml:space="preserve"> </w:t>
      </w:r>
      <w:r>
        <w:t xml:space="preserve">lymphocytes contain a tyrosine kinase hobby with a substrate specificity</w:t>
      </w:r>
      <w:r>
        <w:t xml:space="preserve"> </w:t>
      </w:r>
      <w:r>
        <w:t xml:space="preserve">and phosphorylation kinetics which are awesome from the principal</w:t>
      </w:r>
      <w:r>
        <w:t xml:space="preserve"> </w:t>
      </w:r>
      <w:r>
        <w:t xml:space="preserve">pastime in T cells; a main endogenous substrate for tyrosine</w:t>
      </w:r>
      <w:r>
        <w:t xml:space="preserve"> </w:t>
      </w:r>
      <w:r>
        <w:t xml:space="preserve">phosphorylation in B cells has an obvious molecular mass of 55 kD. B</w:t>
      </w:r>
      <w:r>
        <w:t xml:space="preserve"> </w:t>
      </w:r>
      <w:r>
        <w:t xml:space="preserve">cellular progenitors can gather in secondary lymphoid tissues below</w:t>
      </w:r>
      <w:r>
        <w:t xml:space="preserve"> </w:t>
      </w:r>
      <w:r>
        <w:t xml:space="preserve">situations of polyclonal activation of stress in addition to in heavy</w:t>
      </w:r>
      <w:r>
        <w:t xml:space="preserve"> </w:t>
      </w:r>
      <w:r>
        <w:t xml:space="preserve">chain-poor mice expressing activated Ras within the B lymphoid</w:t>
      </w:r>
      <w:r>
        <w:t xml:space="preserve"> </w:t>
      </w:r>
      <w:r>
        <w:t xml:space="preserve">compartment (Tretter et al., 2003).</w:t>
      </w:r>
    </w:p>
    <w:p>
      <w:pPr>
        <w:pStyle w:val="BodyText"/>
      </w:pPr>
      <w:r>
        <w:rPr>
          <w:b/>
        </w:rPr>
        <w:t xml:space="preserve">Fig. 8</w:t>
      </w:r>
      <w:r>
        <w:t xml:space="preserve"> </w:t>
      </w:r>
      <w:r>
        <w:t xml:space="preserve">Level of mRNA expression in normal human tissue</w:t>
      </w:r>
    </w:p>
    <w:p>
      <w:pPr>
        <w:pStyle w:val="BodyText"/>
      </w:pPr>
      <w:r>
        <w:rPr>
          <w:b/>
        </w:rPr>
        <w:t xml:space="preserve">Tissue specificity</w:t>
      </w:r>
    </w:p>
    <w:p>
      <w:pPr>
        <w:pStyle w:val="BodyText"/>
      </w:pPr>
      <w:r>
        <w:t xml:space="preserve">BLK showed its expression in various tissue of human beings such as</w:t>
      </w:r>
      <w:r>
        <w:t xml:space="preserve"> </w:t>
      </w:r>
      <w:r>
        <w:t xml:space="preserve">lymphatic organs, pancreatic islets, Leydig cells, striate ducts of</w:t>
      </w:r>
      <w:r>
        <w:t xml:space="preserve"> </w:t>
      </w:r>
      <w:r>
        <w:t xml:space="preserve">salivary glands and hair follicles etc. GeneCards (Stelzer et al., 2016)</w:t>
      </w:r>
      <w:r>
        <w:t xml:space="preserve"> </w:t>
      </w:r>
      <w:r>
        <w:t xml:space="preserve">used to extract the data of mRNA expression in normal human tissues and</w:t>
      </w:r>
      <w:r>
        <w:t xml:space="preserve"> </w:t>
      </w:r>
      <w:r>
        <w:t xml:space="preserve">found the expression ranges from 2-3. It has been noticed higher</w:t>
      </w:r>
      <w:r>
        <w:t xml:space="preserve"> </w:t>
      </w:r>
      <w:r>
        <w:t xml:space="preserve">expression in blood, retina, spinal cord, liver, lung, Thyroid,</w:t>
      </w:r>
      <w:r>
        <w:t xml:space="preserve"> </w:t>
      </w:r>
      <w:r>
        <w:t xml:space="preserve">Prostrate, Lymph Node.</w:t>
      </w:r>
    </w:p>
    <w:p>
      <w:pPr>
        <w:pStyle w:val="BodyText"/>
      </w:pPr>
      <w:r>
        <w:rPr>
          <w:b/>
        </w:rPr>
        <w:t xml:space="preserve">BLK and Cancer</w:t>
      </w:r>
    </w:p>
    <w:p>
      <w:pPr>
        <w:pStyle w:val="BodyText"/>
      </w:pPr>
      <w:r>
        <w:t xml:space="preserve">Recently, confirmed the novel evidence that human BLK in its energetic</w:t>
      </w:r>
      <w:r>
        <w:t xml:space="preserve"> </w:t>
      </w:r>
      <w:r>
        <w:t xml:space="preserve">form show oncogene belongings with the ability to guide the growth of</w:t>
      </w:r>
      <w:r>
        <w:t xml:space="preserve"> </w:t>
      </w:r>
      <w:r>
        <w:t xml:space="preserve">lymphoid cells in vitro and to promote tumour increase in vivo. BLK may</w:t>
      </w:r>
      <w:r>
        <w:t xml:space="preserve"> </w:t>
      </w:r>
      <w:r>
        <w:t xml:space="preserve">be a potential novel therapeutic goal in Cutaneous T-cell lymphoma</w:t>
      </w:r>
      <w:r>
        <w:t xml:space="preserve"> </w:t>
      </w:r>
      <w:r>
        <w:t xml:space="preserve">(CTCL) (Petersen et al., 2017). The constitutively active shape of human</w:t>
      </w:r>
      <w:r>
        <w:t xml:space="preserve"> </w:t>
      </w:r>
      <w:r>
        <w:t xml:space="preserve">BLK became capable of remodelling the lymphocytic Ba/F3 cells into</w:t>
      </w:r>
      <w:r>
        <w:t xml:space="preserve"> </w:t>
      </w:r>
      <w:r>
        <w:t xml:space="preserve">increase aspect independence through conferring resistance to apoptosis</w:t>
      </w:r>
      <w:r>
        <w:t xml:space="preserve"> </w:t>
      </w:r>
      <w:r>
        <w:t xml:space="preserve">brought about with the aid of cytokine withdrawal in vitro (Petersen et</w:t>
      </w:r>
      <w:r>
        <w:t xml:space="preserve"> </w:t>
      </w:r>
      <w:r>
        <w:t xml:space="preserve">al., 2017).</w:t>
      </w:r>
    </w:p>
    <w:p>
      <w:pPr>
        <w:pStyle w:val="BodyText"/>
      </w:pPr>
      <w:r>
        <w:rPr>
          <w:b/>
        </w:rPr>
        <w:t xml:space="preserve">Antigenic Regions on BLK</w:t>
      </w:r>
    </w:p>
    <w:p>
      <w:pPr>
        <w:pStyle w:val="BodyText"/>
      </w:pPr>
      <w:r>
        <w:t xml:space="preserve">BLK is having good antigenic property because it has shown the total of</w:t>
      </w:r>
      <w:r>
        <w:t xml:space="preserve"> </w:t>
      </w:r>
      <w:r>
        <w:t xml:space="preserve">19 antigenic regions. We have used emboss (Garnier et al., 1978) for the</w:t>
      </w:r>
      <w:r>
        <w:t xml:space="preserve"> </w:t>
      </w:r>
      <w:r>
        <w:t xml:space="preserve">prediction of the antigenic region on BLK. We have allotted the</w:t>
      </w:r>
      <w:r>
        <w:t xml:space="preserve"> </w:t>
      </w:r>
      <w:r>
        <w:t xml:space="preserve">parameter as the minimum length of the antigenic region as 6 residues</w:t>
      </w:r>
      <w:r>
        <w:t xml:space="preserve"> </w:t>
      </w:r>
      <w:r>
        <w:t xml:space="preserve">and have got the 19 antigenic region which is ranges from 7-33 regions.</w:t>
      </w:r>
      <w:r>
        <w:t xml:space="preserve"> </w:t>
      </w:r>
      <w:r>
        <w:t xml:space="preserve">We have also plotted the respective data using Geneious prime (Fig. 9)</w:t>
      </w:r>
      <w:r>
        <w:t xml:space="preserve"> </w:t>
      </w:r>
      <w:r>
        <w:t xml:space="preserve">along with its potential in the cytoplasm.</w:t>
      </w:r>
    </w:p>
    <w:p>
      <w:pPr>
        <w:pStyle w:val="BodyText"/>
      </w:pPr>
      <w:r>
        <w:rPr>
          <w:b/>
        </w:rPr>
        <w:t xml:space="preserve">Fig. 9</w:t>
      </w:r>
      <w:r>
        <w:t xml:space="preserve"> </w:t>
      </w:r>
      <w:r>
        <w:t xml:space="preserve">Predicted antigenic region on BLK</w:t>
      </w:r>
    </w:p>
    <w:p>
      <w:pPr>
        <w:pStyle w:val="BodyText"/>
      </w:pPr>
      <w:r>
        <w:rPr>
          <w:b/>
        </w:rPr>
        <w:t xml:space="preserve">Gene structure and its regulation</w:t>
      </w:r>
    </w:p>
    <w:p>
      <w:pPr>
        <w:pStyle w:val="BodyText"/>
      </w:pPr>
      <w:r>
        <w:t xml:space="preserve">The gene for BLK, assigned to the chromosome 8p23.1, exon remember is</w:t>
      </w:r>
      <w:r>
        <w:t xml:space="preserve"> </w:t>
      </w:r>
      <w:r>
        <w:t xml:space="preserve">15. It is suggested that the 100-kb place entails the BLK gene, which</w:t>
      </w:r>
      <w:r>
        <w:t xml:space="preserve"> </w:t>
      </w:r>
      <w:r>
        <w:t xml:space="preserve">codes for a nonreceptor tyrosine-kinase of the Src family of</w:t>
      </w:r>
      <w:r>
        <w:t xml:space="preserve"> </w:t>
      </w:r>
      <w:r>
        <w:t xml:space="preserve">proto-oncogenes concerned in cell proliferation and differentiation. On</w:t>
      </w:r>
      <w:r>
        <w:t xml:space="preserve"> </w:t>
      </w:r>
      <w:r>
        <w:t xml:space="preserve">the gene transcription, web page of 20kb five’ mutation turned into</w:t>
      </w:r>
      <w:r>
        <w:t xml:space="preserve"> </w:t>
      </w:r>
      <w:r>
        <w:t xml:space="preserve">positioned, one in exon 4 where it decided an Ala to Thr substitution at</w:t>
      </w:r>
      <w:r>
        <w:t xml:space="preserve"> </w:t>
      </w:r>
      <w:r>
        <w:t xml:space="preserve">role 71, 1 at the end of the three’ UTR, 1 right away three’ of the</w:t>
      </w:r>
      <w:r>
        <w:t xml:space="preserve"> </w:t>
      </w:r>
      <w:r>
        <w:t xml:space="preserve">polyadenylation sign, and 18Kb from the gene at the 3’ facet. Whereas</w:t>
      </w:r>
      <w:r>
        <w:t xml:space="preserve"> </w:t>
      </w:r>
      <w:r>
        <w:t xml:space="preserve">BLK was reported within the literature to be expressed best in B</w:t>
      </w:r>
      <w:r>
        <w:t xml:space="preserve"> </w:t>
      </w:r>
      <w:r>
        <w:t xml:space="preserve">lymphocytes (Dymecki et al., 1990), analysis of current expression</w:t>
      </w:r>
      <w:r>
        <w:t xml:space="preserve"> </w:t>
      </w:r>
      <w:r>
        <w:t xml:space="preserve">statistics revealed that this gene turned into additionally expressed in</w:t>
      </w:r>
      <w:r>
        <w:t xml:space="preserve"> </w:t>
      </w:r>
      <w:r>
        <w:t xml:space="preserve">human pancreatic islets-a finding that turned into showed via RT-PCR.</w:t>
      </w:r>
      <w:r>
        <w:t xml:space="preserve"> </w:t>
      </w:r>
      <w:r>
        <w:t xml:space="preserve">Both BLK probes inside the array gave a more potent hybridization sign</w:t>
      </w:r>
      <w:r>
        <w:t xml:space="preserve"> </w:t>
      </w:r>
      <w:r>
        <w:t xml:space="preserve">with RNA isolated from microdissected Beta-cells instead of entire</w:t>
      </w:r>
      <w:r>
        <w:t xml:space="preserve"> </w:t>
      </w:r>
      <w:r>
        <w:t xml:space="preserve">islets Staining of a human tissue array with an anti-BLK antibody showed</w:t>
      </w:r>
      <w:r>
        <w:t xml:space="preserve"> </w:t>
      </w:r>
      <w:r>
        <w:t xml:space="preserve">the microarray findings (Borowiec et al., 2009).</w:t>
      </w:r>
    </w:p>
    <w:p>
      <w:pPr>
        <w:pStyle w:val="BodyText"/>
      </w:pPr>
      <w:r>
        <w:t xml:space="preserve">It is stated that during murine the BLK gene involves 13 exons less than</w:t>
      </w:r>
      <w:r>
        <w:t xml:space="preserve"> </w:t>
      </w:r>
      <w:r>
        <w:t xml:space="preserve">30kb in size of DNA on mouse chromosome 14. In the primary 3 exons,</w:t>
      </w:r>
      <w:r>
        <w:t xml:space="preserve"> </w:t>
      </w:r>
      <w:r>
        <w:t xml:space="preserve">which offers the five’- untranslated place and the amino acid of</w:t>
      </w:r>
      <w:r>
        <w:t xml:space="preserve"> </w:t>
      </w:r>
      <w:r>
        <w:t xml:space="preserve">N-terminal series unique to p55 Blk, the blk gene is different from</w:t>
      </w:r>
      <w:r>
        <w:t xml:space="preserve"> </w:t>
      </w:r>
      <w:r>
        <w:t xml:space="preserve">other individuals of the Src family however final 10 exons, display</w:t>
      </w:r>
      <w:r>
        <w:t xml:space="preserve"> </w:t>
      </w:r>
      <w:r>
        <w:t xml:space="preserve">specific organisation of gene to that of the other Src genes (Dymecki,</w:t>
      </w:r>
      <w:r>
        <w:t xml:space="preserve"> </w:t>
      </w:r>
      <w:r>
        <w:t xml:space="preserve">Zwollo, Zeller, Kuhajda, &amp; Desiderio, 1992). It is pronounced that the</w:t>
      </w:r>
      <w:r>
        <w:t xml:space="preserve"> </w:t>
      </w:r>
      <w:r>
        <w:t xml:space="preserve">Expression of blk regulated throughout B-mobile development and BLK RNA</w:t>
      </w:r>
      <w:r>
        <w:t xml:space="preserve"> </w:t>
      </w:r>
      <w:r>
        <w:t xml:space="preserve">became found in all pro-B-, pre-B, and mature B-cell lines examined</w:t>
      </w:r>
      <w:r>
        <w:t xml:space="preserve"> </w:t>
      </w:r>
      <w:r>
        <w:t xml:space="preserve">however were absent from plasma cellular traces. Nucleotide sequences of</w:t>
      </w:r>
      <w:r>
        <w:t xml:space="preserve"> </w:t>
      </w:r>
      <w:r>
        <w:t xml:space="preserve">blk exons have been decided by means of the dideoxynucleotide</w:t>
      </w:r>
      <w:r>
        <w:t xml:space="preserve"> </w:t>
      </w:r>
      <w:r>
        <w:t xml:space="preserve">termination method (Holbrook et al., 1984).The ordinary company of blk</w:t>
      </w:r>
      <w:r>
        <w:t xml:space="preserve"> </w:t>
      </w:r>
      <w:r>
        <w:t xml:space="preserve">is much like the murine and human lck, murine hck, bird c-src, and human</w:t>
      </w:r>
      <w:r>
        <w:t xml:space="preserve"> </w:t>
      </w:r>
      <w:r>
        <w:t xml:space="preserve">c-fgr. In its first three exons, BLK is not homologous in nucleotide</w:t>
      </w:r>
      <w:r>
        <w:t xml:space="preserve"> </w:t>
      </w:r>
      <w:r>
        <w:t xml:space="preserve">sequence to another src circle of relatives individuals. Nonetheless,</w:t>
      </w:r>
      <w:r>
        <w:t xml:space="preserve"> </w:t>
      </w:r>
      <w:r>
        <w:t xml:space="preserve">the configuration of these three exons resembles that of the</w:t>
      </w:r>
      <w:r>
        <w:t xml:space="preserve"> </w:t>
      </w:r>
      <w:r>
        <w:t xml:space="preserve">T-lymphocyte kinase gene LCK. In each BLK and LCK, exon 1 is</w:t>
      </w:r>
      <w:r>
        <w:t xml:space="preserve"> </w:t>
      </w:r>
      <w:r>
        <w:t xml:space="preserve">untranslated and is separated from exon 1’ with the aid of</w:t>
      </w:r>
      <w:r>
        <w:t xml:space="preserve"> </w:t>
      </w:r>
      <w:r>
        <w:t xml:space="preserve">&gt;10 kb of DNA; exons 1’ and a couple of encoding N-terminal</w:t>
      </w:r>
      <w:r>
        <w:t xml:space="preserve"> </w:t>
      </w:r>
      <w:r>
        <w:t xml:space="preserve">amino acid residues that show little similarity amongst Src kinases. A</w:t>
      </w:r>
      <w:r>
        <w:t xml:space="preserve"> </w:t>
      </w:r>
      <w:r>
        <w:t xml:space="preserve">more general similarity is clear in exons three-12; in BLK, LCK, HCK,</w:t>
      </w:r>
      <w:r>
        <w:t xml:space="preserve"> </w:t>
      </w:r>
      <w:r>
        <w:t xml:space="preserve">C-SRC, and C-FGR, these exonsencode the conserved SRC homology regions</w:t>
      </w:r>
      <w:r>
        <w:t xml:space="preserve"> </w:t>
      </w:r>
      <w:r>
        <w:t xml:space="preserve">SH3 and SH2, the catalytic area, and a C-terminal regulatory place, are</w:t>
      </w:r>
      <w:r>
        <w:t xml:space="preserve"> </w:t>
      </w:r>
      <w:r>
        <w:t xml:space="preserve">homologous with admire to nucleotide sequence and organization.</w:t>
      </w:r>
    </w:p>
    <w:p>
      <w:pPr>
        <w:pStyle w:val="BodyText"/>
      </w:pPr>
      <w:r>
        <w:t xml:space="preserve">By sequence analysis, BLK is maximum intently related to the SRC circle</w:t>
      </w:r>
      <w:r>
        <w:t xml:space="preserve"> </w:t>
      </w:r>
      <w:r>
        <w:t xml:space="preserve">of relatives contributors ZCK and HCK; this similarity is pondered in</w:t>
      </w:r>
      <w:r>
        <w:t xml:space="preserve"> </w:t>
      </w:r>
      <w:r>
        <w:t xml:space="preserve">the genomic organisation of the 3 genes. The homology found amongst SRC</w:t>
      </w:r>
      <w:r>
        <w:t xml:space="preserve"> </w:t>
      </w:r>
      <w:r>
        <w:t xml:space="preserve">own family participants shows that they rise through the duplication of</w:t>
      </w:r>
      <w:r>
        <w:t xml:space="preserve"> </w:t>
      </w:r>
      <w:r>
        <w:t xml:space="preserve">an ancestral gene. A phylogenetic map of tyrosine kinases, primarily</w:t>
      </w:r>
      <w:r>
        <w:t xml:space="preserve"> </w:t>
      </w:r>
      <w:r>
        <w:t xml:space="preserve">based on the sequences in their catalytic domain names, places ZCK on a</w:t>
      </w:r>
      <w:r>
        <w:t xml:space="preserve"> </w:t>
      </w:r>
      <w:r>
        <w:t xml:space="preserve">department awesome from that which includes C-SRC and C-FGR. BLK is</w:t>
      </w:r>
      <w:r>
        <w:t xml:space="preserve"> </w:t>
      </w:r>
      <w:r>
        <w:t xml:space="preserve">expressed especially in cells of the B-lineage, it may feature in a sign</w:t>
      </w:r>
      <w:r>
        <w:t xml:space="preserve"> </w:t>
      </w:r>
      <w:r>
        <w:t xml:space="preserve">transduction pathway specific to B-lymphocytes. Several transmembrane</w:t>
      </w:r>
      <w:r>
        <w:t xml:space="preserve"> </w:t>
      </w:r>
      <w:r>
        <w:t xml:space="preserve">proteins expressed on B-cells seem to signal through tyrosine</w:t>
      </w:r>
      <w:r>
        <w:t xml:space="preserve"> </w:t>
      </w:r>
      <w:r>
        <w:t xml:space="preserve">phosphorylation however they do now not show intrinsic kinase hobby. The</w:t>
      </w:r>
      <w:r>
        <w:t xml:space="preserve"> </w:t>
      </w:r>
      <w:r>
        <w:t xml:space="preserve">pleasant characterised consist of floor immunoglobulin and class II</w:t>
      </w:r>
      <w:r>
        <w:t xml:space="preserve"> </w:t>
      </w:r>
      <w:r>
        <w:t xml:space="preserve">important histocompatibility complicated (MHC)1 antigen. Cross-linking</w:t>
      </w:r>
      <w:r>
        <w:t xml:space="preserve"> </w:t>
      </w:r>
      <w:r>
        <w:t xml:space="preserve">of floor Ig seems to stimulate the enzymatic activities of Blk, Fyn, and</w:t>
      </w:r>
      <w:r>
        <w:t xml:space="preserve"> </w:t>
      </w:r>
      <w:r>
        <w:t xml:space="preserve">Lyn. Ig and MHC class1 antigens each have a special pattern of</w:t>
      </w:r>
      <w:r>
        <w:t xml:space="preserve"> </w:t>
      </w:r>
      <w:r>
        <w:t xml:space="preserve">expression whilst B-cellular development take area, but each of them is</w:t>
      </w:r>
      <w:r>
        <w:t xml:space="preserve"> </w:t>
      </w:r>
      <w:r>
        <w:t xml:space="preserve">expressed on mature B-cells and are absent from plasma cells. The proof</w:t>
      </w:r>
      <w:r>
        <w:t xml:space="preserve"> </w:t>
      </w:r>
      <w:r>
        <w:t xml:space="preserve">implicating p55blk in signalling pathways regarding one or both of these</w:t>
      </w:r>
      <w:r>
        <w:t xml:space="preserve"> </w:t>
      </w:r>
      <w:r>
        <w:t xml:space="preserve">proteins led us to study the Structural, Biochemical and developmental</w:t>
      </w:r>
      <w:r>
        <w:t xml:space="preserve"> </w:t>
      </w:r>
      <w:r>
        <w:t xml:space="preserve">law of the blk gene.</w:t>
      </w:r>
    </w:p>
    <w:p>
      <w:pPr>
        <w:pStyle w:val="BodyText"/>
      </w:pPr>
      <w:r>
        <w:rPr>
          <w:b/>
        </w:rPr>
        <w:t xml:space="preserve">Domain Analysis</w:t>
      </w:r>
    </w:p>
    <w:p>
      <w:pPr>
        <w:pStyle w:val="BodyText"/>
      </w:pPr>
      <w:r>
        <w:t xml:space="preserve">BLK kinase has 3 domains named SH3 domain, SH2 domain, Protein Tyrosine</w:t>
      </w:r>
      <w:r>
        <w:t xml:space="preserve"> </w:t>
      </w:r>
      <w:r>
        <w:t xml:space="preserve">Kinase was located in a region of 64 – 110, 124 – 205, 241 – 490</w:t>
      </w:r>
      <w:r>
        <w:t xml:space="preserve"> </w:t>
      </w:r>
      <w:r>
        <w:t xml:space="preserve">respectively. We have used Pfam server (El-Gebali et al., 2019) for the</w:t>
      </w:r>
      <w:r>
        <w:t xml:space="preserve"> </w:t>
      </w:r>
      <w:r>
        <w:t xml:space="preserve">domain analysis. We have also checked for glycosylation site on blk</w:t>
      </w:r>
      <w:r>
        <w:t xml:space="preserve"> </w:t>
      </w:r>
      <w:r>
        <w:t xml:space="preserve">using NetNGlyc 1.0 Server (Gupta, Jung, &amp; Brubak, 2004) which shows</w:t>
      </w:r>
      <w:r>
        <w:t xml:space="preserve"> </w:t>
      </w:r>
      <w:r>
        <w:t xml:space="preserve">there is not glycosylation site on BLK. We have also plotted all 3</w:t>
      </w:r>
      <w:r>
        <w:t xml:space="preserve"> </w:t>
      </w:r>
      <w:r>
        <w:t xml:space="preserve">domains of the BLK along with the secondary structure and sequence</w:t>
      </w:r>
      <w:r>
        <w:t xml:space="preserve"> </w:t>
      </w:r>
      <w:r>
        <w:t xml:space="preserve">representation for better understanding (Fig. 10).</w:t>
      </w:r>
    </w:p>
    <w:p>
      <w:pPr>
        <w:pStyle w:val="BodyText"/>
      </w:pPr>
      <w:r>
        <w:rPr>
          <w:b/>
        </w:rPr>
        <w:t xml:space="preserve">Fig. 10</w:t>
      </w:r>
      <w:r>
        <w:t xml:space="preserve"> </w:t>
      </w:r>
      <w:r>
        <w:t xml:space="preserve">Predicted domains on BLK</w:t>
      </w:r>
    </w:p>
    <w:p>
      <w:pPr>
        <w:pStyle w:val="BodyText"/>
      </w:pPr>
      <w:r>
        <w:rPr>
          <w:b/>
        </w:rPr>
        <w:t xml:space="preserve">Analysis of Isoelectric point and charges of the residues</w:t>
      </w:r>
    </w:p>
    <w:p>
      <w:pPr>
        <w:pStyle w:val="BodyText"/>
      </w:pPr>
      <w:r>
        <w:t xml:space="preserve">We have analysed isoelectric point and charges of every residue on blk</w:t>
      </w:r>
      <w:r>
        <w:t xml:space="preserve"> </w:t>
      </w:r>
      <w:r>
        <w:t xml:space="preserve">using the Geneious prime. This plot can clearly define the</w:t>
      </w:r>
      <w:r>
        <w:t xml:space="preserve"> </w:t>
      </w:r>
      <w:r>
        <w:t xml:space="preserve">Hydrophobicity of the residues along with its isoelectric point, both</w:t>
      </w:r>
      <w:r>
        <w:t xml:space="preserve"> </w:t>
      </w:r>
      <w:r>
        <w:t xml:space="preserve">play an important role in drug designing. We have also categorised the</w:t>
      </w:r>
      <w:r>
        <w:t xml:space="preserve"> </w:t>
      </w:r>
      <w:r>
        <w:t xml:space="preserve">Transmembrane permeability and plotted its affinity at outside, inside</w:t>
      </w:r>
      <w:r>
        <w:t xml:space="preserve"> </w:t>
      </w:r>
      <w:r>
        <w:t xml:space="preserve">and on the plasma membrane of the cell. An amino acid charge is</w:t>
      </w:r>
      <w:r>
        <w:t xml:space="preserve"> </w:t>
      </w:r>
      <w:r>
        <w:t xml:space="preserve">basically defining the charge per residues which can be added for the</w:t>
      </w:r>
      <w:r>
        <w:t xml:space="preserve"> </w:t>
      </w:r>
      <w:r>
        <w:t xml:space="preserve">cumulative analysis of the receptor. The cumulative of hydrophobicity at</w:t>
      </w:r>
      <w:r>
        <w:t xml:space="preserve"> </w:t>
      </w:r>
      <w:r>
        <w:t xml:space="preserve">each residue could reveal a lot about the drug design for BLK to</w:t>
      </w:r>
      <w:r>
        <w:t xml:space="preserve"> </w:t>
      </w:r>
      <w:r>
        <w:t xml:space="preserve">upregulate and downregulate in the human body. This graph is depicting</w:t>
      </w:r>
      <w:r>
        <w:t xml:space="preserve"> </w:t>
      </w:r>
      <w:r>
        <w:t xml:space="preserve">the charge, TM along with the secondary structure for the better</w:t>
      </w:r>
      <w:r>
        <w:t xml:space="preserve"> </w:t>
      </w:r>
      <w:r>
        <w:t xml:space="preserve">understanding of the system. For the detailed analysis of the domains of</w:t>
      </w:r>
      <w:r>
        <w:t xml:space="preserve"> </w:t>
      </w:r>
      <w:r>
        <w:t xml:space="preserve">the Human BLK, we have plotted all the annotations along with the domain</w:t>
      </w:r>
      <w:r>
        <w:t xml:space="preserve"> </w:t>
      </w:r>
      <w:r>
        <w:t xml:space="preserve">region on the sequence (Fig. 11).</w:t>
      </w:r>
    </w:p>
    <w:p>
      <w:pPr>
        <w:pStyle w:val="BodyText"/>
      </w:pPr>
      <w:r>
        <w:rPr>
          <w:b/>
        </w:rPr>
        <w:t xml:space="preserve">Fig. 11</w:t>
      </w:r>
      <w:r>
        <w:t xml:space="preserve"> </w:t>
      </w:r>
      <w:r>
        <w:t xml:space="preserve">Graphical representation of annotations of the BLK</w:t>
      </w:r>
    </w:p>
    <w:p>
      <w:pPr>
        <w:pStyle w:val="BodyText"/>
      </w:pPr>
      <w:r>
        <w:rPr>
          <w:b/>
        </w:rPr>
        <w:t xml:space="preserve">Role of BLK in the human body</w:t>
      </w:r>
    </w:p>
    <w:p>
      <w:pPr>
        <w:pStyle w:val="BodyText"/>
      </w:pPr>
      <w:r>
        <w:t xml:space="preserve">Signalling via BLK performs a critical position in transmitting</w:t>
      </w:r>
      <w:r>
        <w:t xml:space="preserve"> </w:t>
      </w:r>
      <w:r>
        <w:t xml:space="preserve">indicators through floor immunoglobulins and provide the supports to</w:t>
      </w:r>
      <w:r>
        <w:t xml:space="preserve"> </w:t>
      </w:r>
      <w:r>
        <w:t xml:space="preserve">seasoned-B to pre-B transition, as well as the signalling for increase</w:t>
      </w:r>
      <w:r>
        <w:t xml:space="preserve"> </w:t>
      </w:r>
      <w:r>
        <w:t xml:space="preserve">arrest and apoptosis downstream of the B-cell receptor. Phosphorylation</w:t>
      </w:r>
      <w:r>
        <w:t xml:space="preserve"> </w:t>
      </w:r>
      <w:r>
        <w:t xml:space="preserve">of CD79A at ’Tyr-188’and ’Tyr-199’, as well as CD79B at ’Tyr-196’ and</w:t>
      </w:r>
      <w:r>
        <w:t xml:space="preserve"> </w:t>
      </w:r>
      <w:r>
        <w:t xml:space="preserve">’Tyr-207’ is done by specific binding of BLK and itphosphorylates in</w:t>
      </w:r>
      <w:r>
        <w:t xml:space="preserve"> </w:t>
      </w:r>
      <w:r>
        <w:t xml:space="preserve">addition to the immunoglobulin G receptors FCGR2A, FCGR2B and FCGR2C.</w:t>
      </w:r>
      <w:r>
        <w:t xml:space="preserve"> </w:t>
      </w:r>
      <w:r>
        <w:t xml:space="preserve">Alongwith FYN and LYN, it performs an essential position in the</w:t>
      </w:r>
      <w:r>
        <w:t xml:space="preserve"> </w:t>
      </w:r>
      <w:r>
        <w:t xml:space="preserve">pre-B-cell receptor (pre-BCR)-mediated NF-kappa-B activation (Clark,</w:t>
      </w:r>
      <w:r>
        <w:t xml:space="preserve"> </w:t>
      </w:r>
      <w:r>
        <w:t xml:space="preserve">Mandal, Ochiai, &amp; Singh, 2014). BLKcontributes to BTK activation by</w:t>
      </w:r>
      <w:r>
        <w:t xml:space="preserve"> </w:t>
      </w:r>
      <w:r>
        <w:t xml:space="preserve">using not directly stimulating BTK intramolecular autophosphorylation.</w:t>
      </w:r>
      <w:r>
        <w:t xml:space="preserve"> </w:t>
      </w:r>
      <w:r>
        <w:t xml:space="preserve">In islets of the pancreas, acts as a modulator of beta-cells</w:t>
      </w:r>
      <w:r>
        <w:t xml:space="preserve"> </w:t>
      </w:r>
      <w:r>
        <w:t xml:space="preserve">characteristic through the up-law of PDX1 and NKX6-1 and consequent</w:t>
      </w:r>
      <w:r>
        <w:t xml:space="preserve"> </w:t>
      </w:r>
      <w:r>
        <w:t xml:space="preserve">stimulation the secretion of insulin in reaction to glucose.</w:t>
      </w:r>
      <w:r>
        <w:t xml:space="preserve"> </w:t>
      </w:r>
      <w:r>
        <w:t xml:space="preserve">Phosphorylates CGAS, promoting retention of CGAS inside the</w:t>
      </w:r>
      <w:r>
        <w:t xml:space="preserve"> </w:t>
      </w:r>
      <w:r>
        <w:t xml:space="preserve">cytosol(Kurosaki, 2002).The biological function of BLK consist of B cell</w:t>
      </w:r>
      <w:r>
        <w:t xml:space="preserve"> </w:t>
      </w:r>
      <w:r>
        <w:t xml:space="preserve">receptor signalling pathway, cell differentiation, intracellular signal</w:t>
      </w:r>
      <w:r>
        <w:t xml:space="preserve"> </w:t>
      </w:r>
      <w:r>
        <w:t xml:space="preserve">transduction, peptidyl-tyrosine autophosphorylation, peptidyl-tyrosine</w:t>
      </w:r>
      <w:r>
        <w:t xml:space="preserve"> </w:t>
      </w:r>
      <w:r>
        <w:t xml:space="preserve">phosphorylation, positive regulation of insulin secretion, regulation of</w:t>
      </w:r>
      <w:r>
        <w:t xml:space="preserve"> </w:t>
      </w:r>
      <w:r>
        <w:t xml:space="preserve">B cell receptor signalling pathway, regulation of B cell receptor</w:t>
      </w:r>
      <w:r>
        <w:t xml:space="preserve"> </w:t>
      </w:r>
      <w:r>
        <w:t xml:space="preserve">signalling pathway, regulation of cell population proliferation receptor</w:t>
      </w:r>
      <w:r>
        <w:t xml:space="preserve"> </w:t>
      </w:r>
      <w:r>
        <w:t xml:space="preserve">of transmembrane protein tyrosine kinase signalling pathway (JADWIN,</w:t>
      </w:r>
      <w:r>
        <w:t xml:space="preserve"> </w:t>
      </w:r>
      <w:r>
        <w:t xml:space="preserve">2017).</w:t>
      </w:r>
    </w:p>
    <w:p>
      <w:pPr>
        <w:pStyle w:val="BodyText"/>
      </w:pPr>
      <w:r>
        <w:rPr>
          <w:b/>
        </w:rPr>
        <w:t xml:space="preserve">BLK and Disease</w:t>
      </w:r>
    </w:p>
    <w:p>
      <w:pPr>
        <w:pStyle w:val="BodyText"/>
      </w:pPr>
      <w:r>
        <w:t xml:space="preserve">The mutation associated with BCL causes MODY(Maturity-onset diabetes of</w:t>
      </w:r>
      <w:r>
        <w:t xml:space="preserve"> </w:t>
      </w:r>
      <w:r>
        <w:t xml:space="preserve">the younger) is a type of Diabetes this is an autosomal ailment this</w:t>
      </w:r>
      <w:r>
        <w:t xml:space="preserve"> </w:t>
      </w:r>
      <w:r>
        <w:t xml:space="preserve">happens on a completely young age, earlier than the age of 25 (Craig et</w:t>
      </w:r>
      <w:r>
        <w:t xml:space="preserve"> </w:t>
      </w:r>
      <w:r>
        <w:t xml:space="preserve">al., 2014). It is pronounced that a hundred-kb vicinity belongs to the</w:t>
      </w:r>
      <w:r>
        <w:t xml:space="preserve"> </w:t>
      </w:r>
      <w:r>
        <w:t xml:space="preserve">BLK gene, this encoded bySrc’s own family non-receptor tyrosine kinase</w:t>
      </w:r>
      <w:r>
        <w:t xml:space="preserve"> </w:t>
      </w:r>
      <w:r>
        <w:t xml:space="preserve">of the which features for mobile proliferation and</w:t>
      </w:r>
      <w:r>
        <w:t xml:space="preserve"> </w:t>
      </w:r>
      <w:r>
        <w:t xml:space="preserve">differentiation(Dymecki et al., 1992). It is suggested that the BLK has</w:t>
      </w:r>
      <w:r>
        <w:t xml:space="preserve"> </w:t>
      </w:r>
      <w:r>
        <w:t xml:space="preserve">an effect on insulin secretion and synthesis, and BLK became both</w:t>
      </w:r>
      <w:r>
        <w:t xml:space="preserve"> </w:t>
      </w:r>
      <w:r>
        <w:t xml:space="preserve">knocked-down or overexpressed by using retrovirus (Borowiec et al.,</w:t>
      </w:r>
      <w:r>
        <w:t xml:space="preserve"> </w:t>
      </w:r>
      <w:r>
        <w:t xml:space="preserve">2009). In low glucose, neither BLK overexpression nor its downregulation</w:t>
      </w:r>
      <w:r>
        <w:t xml:space="preserve"> </w:t>
      </w:r>
      <w:r>
        <w:t xml:space="preserve">had widespread results on insulin secretion. But in a high concentration</w:t>
      </w:r>
      <w:r>
        <w:t xml:space="preserve"> </w:t>
      </w:r>
      <w:r>
        <w:t xml:space="preserve">of glucose decorate the insulin secretion while the antonymic effect was</w:t>
      </w:r>
      <w:r>
        <w:t xml:space="preserve"> </w:t>
      </w:r>
      <w:r>
        <w:t xml:space="preserve">cited in cells wherein BLK were downregulated. The boom in insulin</w:t>
      </w:r>
      <w:r>
        <w:t xml:space="preserve"> </w:t>
      </w:r>
      <w:r>
        <w:t xml:space="preserve">secretion precipitated by BLK overexpression changed into followed by</w:t>
      </w:r>
      <w:r>
        <w:t xml:space="preserve"> </w:t>
      </w:r>
      <w:r>
        <w:t xml:space="preserve">using a 70% increase in insulin content compared with control cells.</w:t>
      </w:r>
      <w:r>
        <w:t xml:space="preserve"> </w:t>
      </w:r>
      <w:r>
        <w:t xml:space="preserve">Thus, BLK may beautify insulin reaction to glucose at the least in part</w:t>
      </w:r>
      <w:r>
        <w:t xml:space="preserve"> </w:t>
      </w:r>
      <w:r>
        <w:t xml:space="preserve">by using growing the amount of insulin available for secretion(M.</w:t>
      </w:r>
      <w:r>
        <w:t xml:space="preserve"> </w:t>
      </w:r>
      <w:r>
        <w:t xml:space="preserve">Borowiec et al., 2009).This impact is blunted by means of the Ala71Thr</w:t>
      </w:r>
      <w:r>
        <w:t xml:space="preserve"> </w:t>
      </w:r>
      <w:r>
        <w:t xml:space="preserve">mutation. In the settlement with the insulin secretion and content</w:t>
      </w:r>
      <w:r>
        <w:t xml:space="preserve"> </w:t>
      </w:r>
      <w:r>
        <w:t xml:space="preserve">material facts, it’s been determined a 40% increase in insulin mark</w:t>
      </w:r>
      <w:r>
        <w:t xml:space="preserve"> </w:t>
      </w:r>
      <w:r>
        <w:t xml:space="preserve">abundance in MIN6 beta-cells overexpressing BLK and a 15% lower in</w:t>
      </w:r>
      <w:r>
        <w:t xml:space="preserve"> </w:t>
      </w:r>
      <w:r>
        <w:t xml:space="preserve">cells in which BLK was knocked down(Dai et al., 2015; Sharma et al.,</w:t>
      </w:r>
      <w:r>
        <w:t xml:space="preserve"> </w:t>
      </w:r>
      <w:r>
        <w:t xml:space="preserve">2015). These findings denoted that the changes in insulin content</w:t>
      </w:r>
      <w:r>
        <w:t xml:space="preserve"> </w:t>
      </w:r>
      <w:r>
        <w:t xml:space="preserve">material regulated with the aid of BLK passed off at the extent of</w:t>
      </w:r>
      <w:r>
        <w:t xml:space="preserve"> </w:t>
      </w:r>
      <w:r>
        <w:t xml:space="preserve">transcription. It is also pronounced that the up-law of the</w:t>
      </w:r>
      <w:r>
        <w:t xml:space="preserve"> </w:t>
      </w:r>
      <w:r>
        <w:t xml:space="preserve">transcription aspect Nkx6.1, this is concerned within the manager of</w:t>
      </w:r>
      <w:r>
        <w:t xml:space="preserve"> </w:t>
      </w:r>
      <w:r>
        <w:t xml:space="preserve">glucose-inspired insulin secretion in pancreatic beta-cells and it’s far</w:t>
      </w:r>
      <w:r>
        <w:t xml:space="preserve"> </w:t>
      </w:r>
      <w:r>
        <w:t xml:space="preserve">viable that the BLK-induced increase in protein stages of Pdx-1 without</w:t>
      </w:r>
      <w:r>
        <w:t xml:space="preserve"> </w:t>
      </w:r>
      <w:r>
        <w:t xml:space="preserve">delay leads the expression of Nkx6.1 and the 2 transcription elements</w:t>
      </w:r>
      <w:r>
        <w:t xml:space="preserve"> </w:t>
      </w:r>
      <w:r>
        <w:t xml:space="preserve">collectively enhance beta-cellular function and mass (Schisler et al.,</w:t>
      </w:r>
      <w:r>
        <w:t xml:space="preserve"> </w:t>
      </w:r>
      <w:r>
        <w:t xml:space="preserve">2005).</w:t>
      </w:r>
    </w:p>
    <w:p>
      <w:pPr>
        <w:pStyle w:val="BodyText"/>
      </w:pPr>
      <w:r>
        <w:rPr>
          <w:b/>
        </w:rPr>
        <w:t xml:space="preserve">Phylogeny</w:t>
      </w:r>
    </w:p>
    <w:p>
      <w:pPr>
        <w:pStyle w:val="BodyText"/>
      </w:pPr>
      <w:r>
        <w:t xml:space="preserve">The origin and evolutionary aspects of BLK were analysed through the</w:t>
      </w:r>
      <w:r>
        <w:t xml:space="preserve"> </w:t>
      </w:r>
      <w:r>
        <w:t xml:space="preserve">phylogenetic tree. We have chosen a total of 324 number of BLK, only one</w:t>
      </w:r>
      <w:r>
        <w:t xml:space="preserve"> </w:t>
      </w:r>
      <w:r>
        <w:t xml:space="preserve">sequence from one species, from animal and Plantae kingdom through</w:t>
      </w:r>
      <w:r>
        <w:t xml:space="preserve"> </w:t>
      </w:r>
      <w:r>
        <w:t xml:space="preserve">various databases. Species wise categorisation on the longest read of</w:t>
      </w:r>
      <w:r>
        <w:t xml:space="preserve"> </w:t>
      </w:r>
      <w:r>
        <w:t xml:space="preserve">the sequence has provided enough and more accurate amount of data for</w:t>
      </w:r>
      <w:r>
        <w:t xml:space="preserve"> </w:t>
      </w:r>
      <w:r>
        <w:t xml:space="preserve">the prospective analysis. We have got the tree using Geneious tree and</w:t>
      </w:r>
      <w:r>
        <w:t xml:space="preserve"> </w:t>
      </w:r>
      <w:r>
        <w:t xml:space="preserve">have plotted its tree using Itol server (Letunic &amp; Bork, 2019) for</w:t>
      </w:r>
      <w:r>
        <w:t xml:space="preserve"> </w:t>
      </w:r>
      <w:r>
        <w:t xml:space="preserve">better comprehension. We have plotted the name of species to refer BLK</w:t>
      </w:r>
      <w:r>
        <w:t xml:space="preserve"> </w:t>
      </w:r>
      <w:r>
        <w:t xml:space="preserve">from that particular species and have recoloured human BLK for better</w:t>
      </w:r>
      <w:r>
        <w:t xml:space="preserve"> </w:t>
      </w:r>
      <w:r>
        <w:t xml:space="preserve">comparison in terms of origin and occurrence of mutation. Distances are</w:t>
      </w:r>
      <w:r>
        <w:t xml:space="preserve"> </w:t>
      </w:r>
      <w:r>
        <w:t xml:space="preserve">represented at nodes of every species to get the actual benefit of</w:t>
      </w:r>
      <w:r>
        <w:t xml:space="preserve"> </w:t>
      </w:r>
      <w:r>
        <w:t xml:space="preserve">comprehension (Fig. 12). We have characterized the whole data into 4</w:t>
      </w:r>
      <w:r>
        <w:t xml:space="preserve"> </w:t>
      </w:r>
      <w:r>
        <w:t xml:space="preserve">distinct class excluding human BLK. Our study shows Tulipa suaveolens as</w:t>
      </w:r>
      <w:r>
        <w:t xml:space="preserve"> </w:t>
      </w:r>
      <w:r>
        <w:t xml:space="preserve">outer species from all of the 324 species data with the highest value of</w:t>
      </w:r>
      <w:r>
        <w:t xml:space="preserve"> </w:t>
      </w:r>
      <w:r>
        <w:t xml:space="preserve">0.77. Human BLK comes in between which is having huge numbers of</w:t>
      </w:r>
      <w:r>
        <w:t xml:space="preserve"> </w:t>
      </w:r>
      <w:r>
        <w:t xml:space="preserve">mutations if compare with the</w:t>
      </w:r>
      <w:r>
        <w:t xml:space="preserve"> </w:t>
      </w:r>
      <w:r>
        <w:rPr>
          <w:i/>
        </w:rPr>
        <w:t xml:space="preserve">T suaveolens</w:t>
      </w:r>
      <w:r>
        <w:t xml:space="preserve"> </w:t>
      </w:r>
      <w:r>
        <w:t xml:space="preserve">.</w:t>
      </w:r>
      <w:r>
        <w:t xml:space="preserve"> </w:t>
      </w:r>
      <w:r>
        <w:rPr>
          <w:i/>
        </w:rPr>
        <w:t xml:space="preserve">Eudyptes</w:t>
      </w:r>
      <w:r>
        <w:rPr>
          <w:i/>
        </w:rPr>
        <w:t xml:space="preserve"> </w:t>
      </w:r>
      <w:r>
        <w:rPr>
          <w:i/>
        </w:rPr>
        <w:t xml:space="preserve">filholi</w:t>
      </w:r>
      <w:r>
        <w:t xml:space="preserve"> </w:t>
      </w:r>
      <w:r>
        <w:t xml:space="preserve">is one of the more mutated species with a wide-angle of the</w:t>
      </w:r>
      <w:r>
        <w:t xml:space="preserve"> </w:t>
      </w:r>
      <w:r>
        <w:t xml:space="preserve">same category. The ring belongs to</w:t>
      </w:r>
      <w:r>
        <w:t xml:space="preserve"> </w:t>
      </w:r>
      <w:r>
        <w:rPr>
          <w:i/>
        </w:rPr>
        <w:t xml:space="preserve">T chinensis</w:t>
      </w:r>
      <w:r>
        <w:t xml:space="preserve"> </w:t>
      </w:r>
      <w:r>
        <w:t xml:space="preserve">is further</w:t>
      </w:r>
      <w:r>
        <w:t xml:space="preserve"> </w:t>
      </w:r>
      <w:r>
        <w:t xml:space="preserve">extended with the wider species count and range of development in the</w:t>
      </w:r>
      <w:r>
        <w:t xml:space="preserve"> </w:t>
      </w:r>
      <w:r>
        <w:t xml:space="preserve">last category. Fundulus heteroclitus have shown a wide distinction in</w:t>
      </w:r>
      <w:r>
        <w:t xml:space="preserve"> </w:t>
      </w:r>
      <w:r>
        <w:t xml:space="preserve">the third ring of the tree. Our studies and plot for this BLK have</w:t>
      </w:r>
      <w:r>
        <w:t xml:space="preserve"> </w:t>
      </w:r>
      <w:r>
        <w:t xml:space="preserve">categorically defined the evolutionary aspect of the BLK’s mutational</w:t>
      </w:r>
      <w:r>
        <w:t xml:space="preserve"> </w:t>
      </w:r>
      <w:r>
        <w:t xml:space="preserve">event.</w:t>
      </w:r>
    </w:p>
    <w:p>
      <w:pPr>
        <w:pStyle w:val="BodyText"/>
      </w:pPr>
      <w:r>
        <w:rPr>
          <w:b/>
        </w:rPr>
        <w:t xml:space="preserve">Fig. 12</w:t>
      </w:r>
      <w:r>
        <w:t xml:space="preserve"> </w:t>
      </w:r>
      <w:r>
        <w:t xml:space="preserve">Phylogenetic tree of the BLK from every species</w:t>
      </w:r>
      <w:r>
        <w:t xml:space="preserve"> </w:t>
      </w:r>
      <w:r>
        <w:t xml:space="preserve">reported yet</w:t>
      </w:r>
    </w:p>
    <w:p>
      <w:pPr>
        <w:pStyle w:val="BodyText"/>
      </w:pPr>
      <w:r>
        <w:rPr>
          <w:b/>
        </w:rPr>
        <w:t xml:space="preserve">Conclusion</w:t>
      </w:r>
    </w:p>
    <w:p>
      <w:pPr>
        <w:pStyle w:val="BodyText"/>
      </w:pPr>
      <w:r>
        <w:t xml:space="preserve">In this study, a common putative feature of BLK has been analysed</w:t>
      </w:r>
      <w:r>
        <w:t xml:space="preserve"> </w:t>
      </w:r>
      <w:r>
        <w:t xml:space="preserve">extensively using bioinformatics tools. BLK is majorly chargeable for</w:t>
      </w:r>
      <w:r>
        <w:t xml:space="preserve"> </w:t>
      </w:r>
      <w:r>
        <w:t xml:space="preserve">the formation of B-Lymphocytes. It has been observed that human BLK in</w:t>
      </w:r>
      <w:r>
        <w:t xml:space="preserve"> </w:t>
      </w:r>
      <w:r>
        <w:t xml:space="preserve">its lively shape is an oncogene with the potential aid in terms of</w:t>
      </w:r>
      <w:r>
        <w:t xml:space="preserve"> </w:t>
      </w:r>
      <w:r>
        <w:t xml:space="preserve">growth of lymphoid cells in vitro and promotes tumour boom in vivo, thus</w:t>
      </w:r>
      <w:r>
        <w:t xml:space="preserve"> </w:t>
      </w:r>
      <w:r>
        <w:t xml:space="preserve">BLK can be considered to be a capacity novel therapeutic target for</w:t>
      </w:r>
      <w:r>
        <w:t xml:space="preserve"> </w:t>
      </w:r>
      <w:r>
        <w:t xml:space="preserve">Cutaneous T-cellular lymphoma. The antibody-mediated surface interaction</w:t>
      </w:r>
      <w:r>
        <w:t xml:space="preserve"> </w:t>
      </w:r>
      <w:r>
        <w:t xml:space="preserve">of the B-cell antigen receptor (BCR) leads to phosphorylation of BLK on</w:t>
      </w:r>
      <w:r>
        <w:t xml:space="preserve"> </w:t>
      </w:r>
      <w:r>
        <w:t xml:space="preserve">tyrosine amino acids, shows the enzymatic activity. We have modelled the</w:t>
      </w:r>
      <w:r>
        <w:t xml:space="preserve"> </w:t>
      </w:r>
      <w:r>
        <w:t xml:space="preserve">structure and did the various analysis of BLK structures which will add</w:t>
      </w:r>
      <w:r>
        <w:t xml:space="preserve"> </w:t>
      </w:r>
      <w:r>
        <w:t xml:space="preserve">the knowledge for understanding the BLK’s functionality in our human</w:t>
      </w:r>
      <w:r>
        <w:t xml:space="preserve"> </w:t>
      </w:r>
      <w:r>
        <w:t xml:space="preserve">body and its regular development. This study would not only help</w:t>
      </w:r>
      <w:r>
        <w:t xml:space="preserve"> </w:t>
      </w:r>
      <w:r>
        <w:t xml:space="preserve">pharmacologists to develop new drugs but also to bioinformaticians in</w:t>
      </w:r>
      <w:r>
        <w:t xml:space="preserve"> </w:t>
      </w:r>
      <w:r>
        <w:t xml:space="preserve">developing new inhibitor to regulate its expression. Till date, the</w:t>
      </w:r>
      <w:r>
        <w:t xml:space="preserve"> </w:t>
      </w:r>
      <w:r>
        <w:t xml:space="preserve">crystallised structure of BLK is not available hence our modelled</w:t>
      </w:r>
      <w:r>
        <w:t xml:space="preserve"> </w:t>
      </w:r>
      <w:r>
        <w:t xml:space="preserve">structure followed by structure refinement using MD simulation gives a</w:t>
      </w:r>
      <w:r>
        <w:t xml:space="preserve"> </w:t>
      </w:r>
      <w:r>
        <w:t xml:space="preserve">stable structure that can be used in pharmacology.</w:t>
      </w:r>
    </w:p>
    <w:p>
      <w:pPr>
        <w:pStyle w:val="BodyText"/>
      </w:pPr>
      <w:r>
        <w:t xml:space="preserve">Competing interest</w:t>
      </w:r>
    </w:p>
    <w:p>
      <w:pPr>
        <w:pStyle w:val="BodyText"/>
      </w:pPr>
      <w:r>
        <w:t xml:space="preserve">The authors declare that there is no conflict of interest in the</w:t>
      </w:r>
      <w:r>
        <w:t xml:space="preserve"> </w:t>
      </w:r>
      <w:r>
        <w:t xml:space="preserve">publication of this manuscript.</w:t>
      </w:r>
    </w:p>
    <w:p>
      <w:pPr>
        <w:pStyle w:val="BodyText"/>
      </w:pPr>
      <w:r>
        <w:t xml:space="preserve">References</w:t>
      </w:r>
    </w:p>
    <w:p>
      <w:pPr>
        <w:pStyle w:val="BodyText"/>
      </w:pPr>
      <w:r>
        <w:t xml:space="preserve">Akerblad, P., &amp; Sigvardsson, M. (1999). Early B cell factor is an</w:t>
      </w:r>
      <w:r>
        <w:t xml:space="preserve"> </w:t>
      </w:r>
      <w:r>
        <w:t xml:space="preserve">activator of the B lymphoid kinase promoter in early B cell development.</w:t>
      </w:r>
      <w:r>
        <w:t xml:space="preserve"> </w:t>
      </w:r>
      <w:r>
        <w:rPr>
          <w:i/>
        </w:rPr>
        <w:t xml:space="preserve">J Immunol, 163</w:t>
      </w:r>
      <w:r>
        <w:t xml:space="preserve"> </w:t>
      </w:r>
      <w:r>
        <w:t xml:space="preserve">(10), 5453-5461.</w:t>
      </w:r>
    </w:p>
    <w:p>
      <w:pPr>
        <w:pStyle w:val="BodyText"/>
      </w:pPr>
      <w:r>
        <w:t xml:space="preserve">Bewarder, N., Weinrich, V., Budde, P., Hartmann, D., Flaswinkel, H.,</w:t>
      </w:r>
      <w:r>
        <w:t xml:space="preserve"> </w:t>
      </w:r>
      <w:r>
        <w:t xml:space="preserve">Reth, M., &amp; Frey, J. (1996). In vivo and in vitro specificity of</w:t>
      </w:r>
      <w:r>
        <w:t xml:space="preserve"> </w:t>
      </w:r>
      <w:r>
        <w:t xml:space="preserve">protein tyrosine kinases for immunoglobulin G receptor (FcgammaRII)</w:t>
      </w:r>
      <w:r>
        <w:t xml:space="preserve"> </w:t>
      </w:r>
      <w:r>
        <w:t xml:space="preserve">phosphorylation.</w:t>
      </w:r>
      <w:r>
        <w:t xml:space="preserve"> </w:t>
      </w:r>
      <w:r>
        <w:rPr>
          <w:i/>
        </w:rPr>
        <w:t xml:space="preserve">Mol Cell Biol, 16</w:t>
      </w:r>
      <w:r>
        <w:t xml:space="preserve"> </w:t>
      </w:r>
      <w:r>
        <w:t xml:space="preserve">(9), 4735-4743.</w:t>
      </w:r>
    </w:p>
    <w:p>
      <w:pPr>
        <w:pStyle w:val="BodyText"/>
      </w:pPr>
      <w:r>
        <w:t xml:space="preserve">Bhattacharya, D., &amp; Cheng, J. (2013). i3Drefine software for protein 3D</w:t>
      </w:r>
      <w:r>
        <w:t xml:space="preserve"> </w:t>
      </w:r>
      <w:r>
        <w:t xml:space="preserve">structure refinement and its assessment in CASP10. </w:t>
      </w:r>
      <w:r>
        <w:rPr>
          <w:i/>
        </w:rPr>
        <w:t xml:space="preserve">PloS one</w:t>
      </w:r>
      <w:r>
        <w:t xml:space="preserve"> </w:t>
      </w:r>
      <w:r>
        <w:t xml:space="preserve">, </w:t>
      </w:r>
      <w:r>
        <w:rPr>
          <w:i/>
        </w:rPr>
        <w:t xml:space="preserve">8</w:t>
      </w:r>
      <w:r>
        <w:t xml:space="preserve"> </w:t>
      </w:r>
      <w:r>
        <w:t xml:space="preserve">(7).</w:t>
      </w:r>
    </w:p>
    <w:p>
      <w:pPr>
        <w:pStyle w:val="BodyText"/>
      </w:pPr>
      <w:r>
        <w:t xml:space="preserve">Borowiec, M., Liew, C. W., Thompson, R., Boonyasrisawat, W., Hu, J.,</w:t>
      </w:r>
      <w:r>
        <w:t xml:space="preserve"> </w:t>
      </w:r>
      <w:r>
        <w:t xml:space="preserve">Mlynarski, W. M., . . . Doria, A. (2009). Mutations at the BLK locus</w:t>
      </w:r>
      <w:r>
        <w:t xml:space="preserve"> </w:t>
      </w:r>
      <w:r>
        <w:t xml:space="preserve">linked to maturity onset diabetes of the young and beta-cell</w:t>
      </w:r>
      <w:r>
        <w:t xml:space="preserve"> </w:t>
      </w:r>
      <w:r>
        <w:t xml:space="preserve">dysfunction.</w:t>
      </w:r>
      <w:r>
        <w:t xml:space="preserve"> </w:t>
      </w:r>
      <w:r>
        <w:rPr>
          <w:i/>
        </w:rPr>
        <w:t xml:space="preserve">Proc Natl Acad Sci U S A, 106</w:t>
      </w:r>
      <w:r>
        <w:t xml:space="preserve"> </w:t>
      </w:r>
      <w:r>
        <w:t xml:space="preserve">(34), 14460-14465.</w:t>
      </w:r>
    </w:p>
    <w:p>
      <w:pPr>
        <w:pStyle w:val="BodyText"/>
      </w:pPr>
      <w:r>
        <w:t xml:space="preserve">Castillejo-López, C., Delgado-Vega, A. M., Wojcik, J., Kozyrev, S. V.,</w:t>
      </w:r>
      <w:r>
        <w:t xml:space="preserve"> </w:t>
      </w:r>
      <w:r>
        <w:t xml:space="preserve">Thavathiru, E., Wu, Y.-Y., . . . Fineschi, S. (2012). Genetic and</w:t>
      </w:r>
      <w:r>
        <w:t xml:space="preserve"> </w:t>
      </w:r>
      <w:r>
        <w:t xml:space="preserve">physical interaction of the B-cell systemic lupus</w:t>
      </w:r>
      <w:r>
        <w:t xml:space="preserve"> </w:t>
      </w:r>
      <w:r>
        <w:t xml:space="preserve">erythematosus-associated genes BANK1 and BLK.</w:t>
      </w:r>
      <w:r>
        <w:rPr>
          <w:i/>
        </w:rPr>
        <w:t xml:space="preserve">Annals of the</w:t>
      </w:r>
      <w:r>
        <w:rPr>
          <w:i/>
        </w:rPr>
        <w:t xml:space="preserve"> </w:t>
      </w:r>
      <w:r>
        <w:rPr>
          <w:i/>
        </w:rPr>
        <w:t xml:space="preserve">rheumatic diseases, 71</w:t>
      </w:r>
      <w:r>
        <w:t xml:space="preserve"> </w:t>
      </w:r>
      <w:r>
        <w:t xml:space="preserve">(1), 136-142.</w:t>
      </w:r>
    </w:p>
    <w:p>
      <w:pPr>
        <w:pStyle w:val="BodyText"/>
      </w:pPr>
      <w:r>
        <w:t xml:space="preserve">Clark, M. R., Mandal, M., Ochiai, K., &amp; Singh, H. (2014). Orchestrating</w:t>
      </w:r>
      <w:r>
        <w:t xml:space="preserve"> </w:t>
      </w:r>
      <w:r>
        <w:t xml:space="preserve">B cell lymphopoiesis through interplay of IL-7 receptor and pre-B cell</w:t>
      </w:r>
      <w:r>
        <w:t xml:space="preserve"> </w:t>
      </w:r>
      <w:r>
        <w:t xml:space="preserve">receptor signalling.</w:t>
      </w:r>
      <w:r>
        <w:rPr>
          <w:i/>
        </w:rPr>
        <w:t xml:space="preserve">Nature reviews Immunology,</w:t>
      </w:r>
      <w:r>
        <w:t xml:space="preserve"> </w:t>
      </w:r>
      <w:r>
        <w:t xml:space="preserve">14(2), 69-80.</w:t>
      </w:r>
    </w:p>
    <w:p>
      <w:pPr>
        <w:pStyle w:val="BodyText"/>
      </w:pPr>
      <w:r>
        <w:t xml:space="preserve">Craig, M. E., Hattersley, A., &amp; Donaghue, K. C. (2009). Definition,</w:t>
      </w:r>
      <w:r>
        <w:t xml:space="preserve"> </w:t>
      </w:r>
      <w:r>
        <w:t xml:space="preserve">epidemiology and classification of diabetes in children and</w:t>
      </w:r>
      <w:r>
        <w:t xml:space="preserve"> </w:t>
      </w:r>
      <w:r>
        <w:t xml:space="preserve">adolescents. </w:t>
      </w:r>
      <w:r>
        <w:rPr>
          <w:i/>
        </w:rPr>
        <w:t xml:space="preserve">Pediatric diabetes</w:t>
      </w:r>
      <w:r>
        <w:t xml:space="preserve"> </w:t>
      </w:r>
      <w:r>
        <w:t xml:space="preserve">, </w:t>
      </w:r>
      <w:r>
        <w:rPr>
          <w:i/>
        </w:rPr>
        <w:t xml:space="preserve">10</w:t>
      </w:r>
      <w:r>
        <w:t xml:space="preserve"> </w:t>
      </w:r>
      <w:r>
        <w:t xml:space="preserve">, 3-12.</w:t>
      </w:r>
    </w:p>
    <w:p>
      <w:pPr>
        <w:pStyle w:val="BodyText"/>
      </w:pPr>
      <w:r>
        <w:t xml:space="preserve">Dai, F. F., Bhattacharjee, A., Liu, Y., Batchuluun, B., Zhang, M., Wang,</w:t>
      </w:r>
      <w:r>
        <w:t xml:space="preserve"> </w:t>
      </w:r>
      <w:r>
        <w:t xml:space="preserve">X. S., … &amp; Wheeler, M. B. (2015). A novel GLP1 receptor</w:t>
      </w:r>
      <w:r>
        <w:t xml:space="preserve"> </w:t>
      </w:r>
      <w:r>
        <w:t xml:space="preserve">interacting protein ATP6ap2 regulates insulin secretion in pancreatic</w:t>
      </w:r>
      <w:r>
        <w:t xml:space="preserve"> </w:t>
      </w:r>
      <w:r>
        <w:t xml:space="preserve">beta cells. </w:t>
      </w:r>
      <w:r>
        <w:rPr>
          <w:i/>
        </w:rPr>
        <w:t xml:space="preserve">Journal of Biological Chemistry</w:t>
      </w:r>
      <w:r>
        <w:t xml:space="preserve"> </w:t>
      </w:r>
      <w:r>
        <w:t xml:space="preserve">, </w:t>
      </w:r>
      <w:r>
        <w:rPr>
          <w:i/>
        </w:rPr>
        <w:t xml:space="preserve">290</w:t>
      </w:r>
      <w:r>
        <w:t xml:space="preserve"> </w:t>
      </w:r>
      <w:r>
        <w:t xml:space="preserve">(41),</w:t>
      </w:r>
      <w:r>
        <w:t xml:space="preserve"> </w:t>
      </w:r>
      <w:r>
        <w:t xml:space="preserve">25045-25061.</w:t>
      </w:r>
    </w:p>
    <w:p>
      <w:pPr>
        <w:pStyle w:val="BodyText"/>
      </w:pPr>
      <w:r>
        <w:t xml:space="preserve">Dymecki, S. M., Niederhuber, J. E., &amp; Desiderio, S. V. (1990). Specific</w:t>
      </w:r>
      <w:r>
        <w:t xml:space="preserve"> </w:t>
      </w:r>
      <w:r>
        <w:t xml:space="preserve">expression of a tyrosine kinase gene, blk, in B lymphoid</w:t>
      </w:r>
      <w:r>
        <w:t xml:space="preserve"> </w:t>
      </w:r>
      <w:r>
        <w:t xml:space="preserve">cells. </w:t>
      </w:r>
      <w:r>
        <w:rPr>
          <w:i/>
        </w:rPr>
        <w:t xml:space="preserve">Science</w:t>
      </w:r>
      <w:r>
        <w:t xml:space="preserve"> </w:t>
      </w:r>
      <w:r>
        <w:t xml:space="preserve">, </w:t>
      </w:r>
      <w:r>
        <w:rPr>
          <w:i/>
        </w:rPr>
        <w:t xml:space="preserve">247</w:t>
      </w:r>
      <w:r>
        <w:t xml:space="preserve"> </w:t>
      </w:r>
      <w:r>
        <w:t xml:space="preserve">(4940), 332-336.</w:t>
      </w:r>
    </w:p>
    <w:p>
      <w:pPr>
        <w:pStyle w:val="BodyText"/>
      </w:pPr>
      <w:r>
        <w:t xml:space="preserve">Dymecki, S. M., Zwollo, P., Zeller, K., Kuhajda, F. P., &amp; Desiderio, S.</w:t>
      </w:r>
      <w:r>
        <w:t xml:space="preserve"> </w:t>
      </w:r>
      <w:r>
        <w:t xml:space="preserve">V. (1992). Structure and developmental regulation of the B-lymphoid</w:t>
      </w:r>
      <w:r>
        <w:t xml:space="preserve"> </w:t>
      </w:r>
      <w:r>
        <w:t xml:space="preserve">tyrosine kinase gene blk. </w:t>
      </w:r>
      <w:r>
        <w:rPr>
          <w:i/>
        </w:rPr>
        <w:t xml:space="preserve">Journal of Biological Chemistry</w:t>
      </w:r>
      <w:r>
        <w:t xml:space="preserve"> </w:t>
      </w:r>
      <w:r>
        <w:t xml:space="preserve">, </w:t>
      </w:r>
      <w:r>
        <w:rPr>
          <w:i/>
        </w:rPr>
        <w:t xml:space="preserve">267</w:t>
      </w:r>
      <w:r>
        <w:t xml:space="preserve"> </w:t>
      </w:r>
      <w:r>
        <w:t xml:space="preserve">(7), 4815-4823.</w:t>
      </w:r>
    </w:p>
    <w:p>
      <w:pPr>
        <w:pStyle w:val="BodyText"/>
      </w:pPr>
      <w:r>
        <w:t xml:space="preserve">El-Gebali, S., Mistry, J., Bateman, A., Eddy, S. R., Luciani, A.,</w:t>
      </w:r>
      <w:r>
        <w:t xml:space="preserve"> </w:t>
      </w:r>
      <w:r>
        <w:t xml:space="preserve">Potter, S. C., … &amp; Sonnhammer, E. L. L. (2019). The Pfam protein</w:t>
      </w:r>
      <w:r>
        <w:t xml:space="preserve"> </w:t>
      </w:r>
      <w:r>
        <w:t xml:space="preserve">families database in 2019. </w:t>
      </w:r>
      <w:r>
        <w:rPr>
          <w:i/>
        </w:rPr>
        <w:t xml:space="preserve">Nucleic acids research</w:t>
      </w:r>
      <w:r>
        <w:t xml:space="preserve"> </w:t>
      </w:r>
      <w:r>
        <w:t xml:space="preserve">, </w:t>
      </w:r>
      <w:r>
        <w:rPr>
          <w:i/>
        </w:rPr>
        <w:t xml:space="preserve">47</w:t>
      </w:r>
      <w:r>
        <w:t xml:space="preserve"> </w:t>
      </w:r>
      <w:r>
        <w:t xml:space="preserve">(D1), D427-D432.</w:t>
      </w:r>
    </w:p>
    <w:p>
      <w:pPr>
        <w:pStyle w:val="BodyText"/>
      </w:pPr>
      <w:r>
        <w:t xml:space="preserve">Fishilevich, S., Zimmerman, S., Kohn, A., Iny Stein, T., Olender, T.,</w:t>
      </w:r>
      <w:r>
        <w:t xml:space="preserve"> </w:t>
      </w:r>
      <w:r>
        <w:t xml:space="preserve">Kolker, E., . . . Lancet, D. (2016). Genic insights from integrated</w:t>
      </w:r>
      <w:r>
        <w:t xml:space="preserve"> </w:t>
      </w:r>
      <w:r>
        <w:t xml:space="preserve">human proteomics in GeneCards.</w:t>
      </w:r>
      <w:r>
        <w:rPr>
          <w:i/>
        </w:rPr>
        <w:t xml:space="preserve">Database, 2016</w:t>
      </w:r>
      <w:r>
        <w:t xml:space="preserve"> </w:t>
      </w:r>
      <w:r>
        <w:t xml:space="preserve">.</w:t>
      </w:r>
    </w:p>
    <w:p>
      <w:pPr>
        <w:pStyle w:val="BodyText"/>
      </w:pPr>
      <w:r>
        <w:t xml:space="preserve">Garnier, J., Osguthorpe, D. J., &amp; Robson, B. (1978). Analysis of the</w:t>
      </w:r>
      <w:r>
        <w:t xml:space="preserve"> </w:t>
      </w:r>
      <w:r>
        <w:t xml:space="preserve">accuracy and implications of simple methods for predicting the secondary</w:t>
      </w:r>
      <w:r>
        <w:t xml:space="preserve"> </w:t>
      </w:r>
      <w:r>
        <w:t xml:space="preserve">structure of globular proteins. </w:t>
      </w:r>
      <w:r>
        <w:rPr>
          <w:i/>
        </w:rPr>
        <w:t xml:space="preserve">Journal of molecular biology</w:t>
      </w:r>
      <w:r>
        <w:t xml:space="preserve"> </w:t>
      </w:r>
      <w:r>
        <w:t xml:space="preserve">, </w:t>
      </w:r>
      <w:r>
        <w:rPr>
          <w:i/>
        </w:rPr>
        <w:t xml:space="preserve">120</w:t>
      </w:r>
      <w:r>
        <w:t xml:space="preserve"> </w:t>
      </w:r>
      <w:r>
        <w:t xml:space="preserve">(1), 97-120.</w:t>
      </w:r>
    </w:p>
    <w:p>
      <w:pPr>
        <w:pStyle w:val="BodyText"/>
      </w:pPr>
      <w:r>
        <w:t xml:space="preserve">Gasteiger, E., Hoogland, C., Gattiker, A., Wilkins, M. R., Appel, R. D.,</w:t>
      </w:r>
      <w:r>
        <w:t xml:space="preserve"> </w:t>
      </w:r>
      <w:r>
        <w:t xml:space="preserve">&amp; Bairoch, A. (2005). Protein identification and analysis tools on the</w:t>
      </w:r>
      <w:r>
        <w:t xml:space="preserve"> </w:t>
      </w:r>
      <w:r>
        <w:t xml:space="preserve">ExPASy server. In</w:t>
      </w:r>
      <w:r>
        <w:rPr>
          <w:i/>
        </w:rPr>
        <w:t xml:space="preserve">The proteomics protocols handbook</w:t>
      </w:r>
      <w:r>
        <w:t xml:space="preserve"> </w:t>
      </w:r>
      <w:r>
        <w:t xml:space="preserve">(pp. 571-607):</w:t>
      </w:r>
      <w:r>
        <w:t xml:space="preserve"> </w:t>
      </w:r>
      <w:r>
        <w:t xml:space="preserve">Springer.</w:t>
      </w:r>
    </w:p>
    <w:p>
      <w:pPr>
        <w:pStyle w:val="BodyText"/>
      </w:pPr>
      <w:r>
        <w:t xml:space="preserve">Gupta, R., Jung, E., &amp; Brubak, S. (2004). NetNGlyc: prediction of</w:t>
      </w:r>
      <w:r>
        <w:t xml:space="preserve"> </w:t>
      </w:r>
      <w:r>
        <w:t xml:space="preserve">N-glycosylation sites in human proteins. In: Prep.</w:t>
      </w:r>
    </w:p>
    <w:p>
      <w:pPr>
        <w:pStyle w:val="BodyText"/>
      </w:pPr>
      <w:r>
        <w:t xml:space="preserve">Halgren, T. A. (2009). Identifying and characterizing binding sites and</w:t>
      </w:r>
      <w:r>
        <w:t xml:space="preserve"> </w:t>
      </w:r>
      <w:r>
        <w:t xml:space="preserve">assessing druggability. </w:t>
      </w:r>
      <w:r>
        <w:rPr>
          <w:i/>
        </w:rPr>
        <w:t xml:space="preserve">Journal of chemical information and</w:t>
      </w:r>
      <w:r>
        <w:rPr>
          <w:i/>
        </w:rPr>
        <w:t xml:space="preserve"> </w:t>
      </w:r>
      <w:r>
        <w:rPr>
          <w:i/>
        </w:rPr>
        <w:t xml:space="preserve">modeling</w:t>
      </w:r>
      <w:r>
        <w:t xml:space="preserve"> </w:t>
      </w:r>
      <w:r>
        <w:t xml:space="preserve">, </w:t>
      </w:r>
      <w:r>
        <w:rPr>
          <w:i/>
        </w:rPr>
        <w:t xml:space="preserve">49</w:t>
      </w:r>
      <w:r>
        <w:t xml:space="preserve"> </w:t>
      </w:r>
      <w:r>
        <w:t xml:space="preserve">(2), 377-389.</w:t>
      </w:r>
    </w:p>
    <w:p>
      <w:pPr>
        <w:pStyle w:val="BodyText"/>
      </w:pPr>
      <w:r>
        <w:t xml:space="preserve">Harley, J. B., Alarcón-Riquelme, M. E., Criswell, L. A., Jacob, C. O.,</w:t>
      </w:r>
      <w:r>
        <w:t xml:space="preserve"> </w:t>
      </w:r>
      <w:r>
        <w:t xml:space="preserve">Kimberly, R. P., Moser, K. L., . . . Genetics, I. C. f. S. L. E. (2008).</w:t>
      </w:r>
      <w:r>
        <w:t xml:space="preserve"> </w:t>
      </w:r>
      <w:r>
        <w:t xml:space="preserve">Genome-wide association scan in women with systemic lupus erythematosus</w:t>
      </w:r>
      <w:r>
        <w:t xml:space="preserve"> </w:t>
      </w:r>
      <w:r>
        <w:t xml:space="preserve">identifies susceptibility variants in ITGAM, PXK, KIAA1542 and other</w:t>
      </w:r>
      <w:r>
        <w:t xml:space="preserve"> </w:t>
      </w:r>
      <w:r>
        <w:t xml:space="preserve">loci.</w:t>
      </w:r>
      <w:r>
        <w:t xml:space="preserve"> </w:t>
      </w:r>
      <w:r>
        <w:rPr>
          <w:i/>
        </w:rPr>
        <w:t xml:space="preserve">Nature genetics, 40</w:t>
      </w:r>
      <w:r>
        <w:t xml:space="preserve"> </w:t>
      </w:r>
      <w:r>
        <w:t xml:space="preserve">(2), 204.</w:t>
      </w:r>
    </w:p>
    <w:p>
      <w:pPr>
        <w:pStyle w:val="BodyText"/>
      </w:pPr>
      <w:r>
        <w:t xml:space="preserve">Holbrook, N. J., Smith, K. A., Fornace, A. J., Comeau, C. M., Wiskocil,</w:t>
      </w:r>
      <w:r>
        <w:t xml:space="preserve"> </w:t>
      </w:r>
      <w:r>
        <w:t xml:space="preserve">R. L., &amp; Crabtree, G. R. (1984). T-cell growth factor: complete</w:t>
      </w:r>
      <w:r>
        <w:t xml:space="preserve"> </w:t>
      </w:r>
      <w:r>
        <w:t xml:space="preserve">nucleotide sequence and organization of the gene in normal and malignant</w:t>
      </w:r>
      <w:r>
        <w:t xml:space="preserve"> </w:t>
      </w:r>
      <w:r>
        <w:t xml:space="preserve">cells. </w:t>
      </w:r>
      <w:r>
        <w:rPr>
          <w:i/>
        </w:rPr>
        <w:t xml:space="preserve">Proceedings of the National Academy of Sciences</w:t>
      </w:r>
      <w:r>
        <w:t xml:space="preserve"> </w:t>
      </w:r>
      <w:r>
        <w:t xml:space="preserve">, </w:t>
      </w:r>
      <w:r>
        <w:rPr>
          <w:i/>
        </w:rPr>
        <w:t xml:space="preserve">81</w:t>
      </w:r>
      <w:r>
        <w:t xml:space="preserve"> </w:t>
      </w:r>
      <w:r>
        <w:t xml:space="preserve">(6), 1634-1638.</w:t>
      </w:r>
    </w:p>
    <w:p>
      <w:pPr>
        <w:pStyle w:val="BodyText"/>
      </w:pPr>
      <w:r>
        <w:t xml:space="preserve">Humphrey, W., Dalke, A., &amp; Schulten, K. (1996). VMD: visual molecular</w:t>
      </w:r>
      <w:r>
        <w:t xml:space="preserve"> </w:t>
      </w:r>
      <w:r>
        <w:t xml:space="preserve">dynamics. </w:t>
      </w:r>
      <w:r>
        <w:rPr>
          <w:i/>
        </w:rPr>
        <w:t xml:space="preserve">Journal of molecular graphics</w:t>
      </w:r>
      <w:r>
        <w:t xml:space="preserve"> </w:t>
      </w:r>
      <w:r>
        <w:t xml:space="preserve">, </w:t>
      </w:r>
      <w:r>
        <w:rPr>
          <w:i/>
        </w:rPr>
        <w:t xml:space="preserve">14</w:t>
      </w:r>
      <w:r>
        <w:t xml:space="preserve"> </w:t>
      </w:r>
      <w:r>
        <w:t xml:space="preserve">(1), 33-38.</w:t>
      </w:r>
    </w:p>
    <w:p>
      <w:pPr>
        <w:pStyle w:val="BodyText"/>
      </w:pPr>
      <w:r>
        <w:t xml:space="preserve">Jacobson, M. P., Pincus, D. L., Rapp, C. S., Day, T. J., Honig, B.,</w:t>
      </w:r>
      <w:r>
        <w:t xml:space="preserve"> </w:t>
      </w:r>
      <w:r>
        <w:t xml:space="preserve">Shaw, D. E., &amp; Friesner, R. A. (2004). A hierarchical approach to</w:t>
      </w:r>
      <w:r>
        <w:t xml:space="preserve"> </w:t>
      </w:r>
      <w:r>
        <w:t xml:space="preserve">all‐atom protein loop prediction. </w:t>
      </w:r>
      <w:r>
        <w:rPr>
          <w:i/>
        </w:rPr>
        <w:t xml:space="preserve">Proteins: Structure, Function,</w:t>
      </w:r>
      <w:r>
        <w:rPr>
          <w:i/>
        </w:rPr>
        <w:t xml:space="preserve"> </w:t>
      </w:r>
      <w:r>
        <w:rPr>
          <w:i/>
        </w:rPr>
        <w:t xml:space="preserve">and Bioinformatics</w:t>
      </w:r>
      <w:r>
        <w:t xml:space="preserve"> </w:t>
      </w:r>
      <w:r>
        <w:t xml:space="preserve">, </w:t>
      </w:r>
      <w:r>
        <w:rPr>
          <w:i/>
        </w:rPr>
        <w:t xml:space="preserve">55</w:t>
      </w:r>
      <w:r>
        <w:t xml:space="preserve"> </w:t>
      </w:r>
      <w:r>
        <w:t xml:space="preserve">(2), 351-367.</w:t>
      </w:r>
    </w:p>
    <w:p>
      <w:pPr>
        <w:pStyle w:val="BodyText"/>
      </w:pPr>
      <w:r>
        <w:t xml:space="preserve">JADWIN, J. A. (2017). Quantitative Analysis of EGFR Phosphorylation and</w:t>
      </w:r>
      <w:r>
        <w:t xml:space="preserve"> </w:t>
      </w:r>
      <w:r>
        <w:t xml:space="preserve">SH2 Domain Binding in vivo.</w:t>
      </w:r>
      <w:r>
        <w:rPr>
          <w:i/>
        </w:rPr>
        <w:t xml:space="preserve">Doctoral Dissertations</w:t>
      </w:r>
      <w:r>
        <w:t xml:space="preserve"> </w:t>
      </w:r>
      <w:r>
        <w:t xml:space="preserve">, 1437,</w:t>
      </w:r>
      <w:r>
        <w:t xml:space="preserve"> </w:t>
      </w:r>
      <w:r>
        <w:t xml:space="preserve">University of Connecticut Graduate School.</w:t>
      </w:r>
    </w:p>
    <w:p>
      <w:pPr>
        <w:pStyle w:val="BodyText"/>
      </w:pPr>
      <w:r>
        <w:t xml:space="preserve">Kaul, T., Eswaran, M., Ahmad, S., Thangaraj, A., Jain, R., Kaul, R.,</w:t>
      </w:r>
      <w:r>
        <w:t xml:space="preserve"> </w:t>
      </w:r>
      <w:r>
        <w:t xml:space="preserve">… &amp; Bharti, J. (2019). Probing the effect of a plus 1bp</w:t>
      </w:r>
      <w:r>
        <w:t xml:space="preserve"> </w:t>
      </w:r>
      <w:r>
        <w:t xml:space="preserve">frameshift mutation in protein-DNA interface of domestication gene,</w:t>
      </w:r>
      <w:r>
        <w:t xml:space="preserve"> </w:t>
      </w:r>
      <w:r>
        <w:t xml:space="preserve">NAMB1, in wheat. </w:t>
      </w:r>
      <w:r>
        <w:rPr>
          <w:i/>
        </w:rPr>
        <w:t xml:space="preserve">Journal of Biomolecular Structure and Dynamics</w:t>
      </w:r>
      <w:r>
        <w:t xml:space="preserve"> </w:t>
      </w:r>
      <w:r>
        <w:t xml:space="preserve">,</w:t>
      </w:r>
      <w:r>
        <w:t xml:space="preserve"> </w:t>
      </w:r>
      <w:r>
        <w:t xml:space="preserve">1-15.</w:t>
      </w:r>
    </w:p>
    <w:p>
      <w:pPr>
        <w:pStyle w:val="BodyText"/>
      </w:pPr>
      <w:r>
        <w:t xml:space="preserve">Kurosaki, T. (2002). Regulation of B-cell signal transduction by adaptor</w:t>
      </w:r>
      <w:r>
        <w:t xml:space="preserve"> </w:t>
      </w:r>
      <w:r>
        <w:t xml:space="preserve">proteins. </w:t>
      </w:r>
      <w:r>
        <w:rPr>
          <w:i/>
        </w:rPr>
        <w:t xml:space="preserve">Nature Reviews Immunology</w:t>
      </w:r>
      <w:r>
        <w:t xml:space="preserve"> </w:t>
      </w:r>
      <w:r>
        <w:t xml:space="preserve">, </w:t>
      </w:r>
      <w:r>
        <w:rPr>
          <w:i/>
        </w:rPr>
        <w:t xml:space="preserve">2</w:t>
      </w:r>
      <w:r>
        <w:t xml:space="preserve"> </w:t>
      </w:r>
      <w:r>
        <w:t xml:space="preserve">(5), 354-363.</w:t>
      </w:r>
    </w:p>
    <w:p>
      <w:pPr>
        <w:pStyle w:val="BodyText"/>
      </w:pPr>
      <w:r>
        <w:t xml:space="preserve">Letunic, I., &amp; Bork, P. (2019). Interactive Tree Of Life (iTOL) v4:</w:t>
      </w:r>
      <w:r>
        <w:t xml:space="preserve"> </w:t>
      </w:r>
      <w:r>
        <w:t xml:space="preserve">recent updates and new developments. </w:t>
      </w:r>
      <w:r>
        <w:rPr>
          <w:i/>
        </w:rPr>
        <w:t xml:space="preserve">Nucleic acids research</w:t>
      </w:r>
      <w:r>
        <w:t xml:space="preserve"> </w:t>
      </w:r>
      <w:r>
        <w:t xml:space="preserve">, </w:t>
      </w:r>
      <w:r>
        <w:rPr>
          <w:i/>
        </w:rPr>
        <w:t xml:space="preserve">47</w:t>
      </w:r>
      <w:r>
        <w:t xml:space="preserve"> </w:t>
      </w:r>
      <w:r>
        <w:t xml:space="preserve">(W1), W256-W259.</w:t>
      </w:r>
    </w:p>
    <w:p>
      <w:pPr>
        <w:pStyle w:val="BodyText"/>
      </w:pPr>
      <w:r>
        <w:t xml:space="preserve">Liu, H., Zhang, H., Wu, X., Ma, D., Wu, J., Wang, L., . . . Ge, B.</w:t>
      </w:r>
      <w:r>
        <w:t xml:space="preserve"> </w:t>
      </w:r>
      <w:r>
        <w:t xml:space="preserve">(2018). Nuclear cGAS suppresses DNA repair and promotes tumorigenesis.</w:t>
      </w:r>
      <w:r>
        <w:t xml:space="preserve"> </w:t>
      </w:r>
      <w:r>
        <w:rPr>
          <w:i/>
        </w:rPr>
        <w:t xml:space="preserve">Nature, 563</w:t>
      </w:r>
      <w:r>
        <w:t xml:space="preserve"> </w:t>
      </w:r>
      <w:r>
        <w:t xml:space="preserve">(7729), 131-136.</w:t>
      </w:r>
    </w:p>
    <w:p>
      <w:pPr>
        <w:pStyle w:val="BodyText"/>
      </w:pPr>
      <w:r>
        <w:t xml:space="preserve">Malek, S. N., Dordai, D. I., Reim, J., Dintzis, H., &amp; Desiderio, S.</w:t>
      </w:r>
      <w:r>
        <w:t xml:space="preserve"> </w:t>
      </w:r>
      <w:r>
        <w:t xml:space="preserve">(1998). Malignant transformation of early lymphoid progenitors in mice</w:t>
      </w:r>
      <w:r>
        <w:t xml:space="preserve"> </w:t>
      </w:r>
      <w:r>
        <w:t xml:space="preserve">expressing an activated Blk tyrosine kinase.</w:t>
      </w:r>
      <w:r>
        <w:t xml:space="preserve"> </w:t>
      </w:r>
      <w:r>
        <w:rPr>
          <w:i/>
        </w:rPr>
        <w:t xml:space="preserve">Proceedings of the</w:t>
      </w:r>
      <w:r>
        <w:rPr>
          <w:i/>
        </w:rPr>
        <w:t xml:space="preserve"> </w:t>
      </w:r>
      <w:r>
        <w:rPr>
          <w:i/>
        </w:rPr>
        <w:t xml:space="preserve">National Academy of Sciences, 95</w:t>
      </w:r>
      <w:r>
        <w:t xml:space="preserve"> </w:t>
      </w:r>
      <w:r>
        <w:t xml:space="preserve">(13), 7351-7356.</w:t>
      </w:r>
    </w:p>
    <w:p>
      <w:pPr>
        <w:pStyle w:val="BodyText"/>
      </w:pPr>
      <w:r>
        <w:t xml:space="preserve">Murata, K., Ishii, N., Takano, H., Miura, S., Ndhlovu, L. C., Nose, M.,</w:t>
      </w:r>
      <w:r>
        <w:t xml:space="preserve"> </w:t>
      </w:r>
      <w:r>
        <w:t xml:space="preserve">. . . Sugamura, K. (2000). Impairment of antigen-presenting cell</w:t>
      </w:r>
      <w:r>
        <w:t xml:space="preserve"> </w:t>
      </w:r>
      <w:r>
        <w:t xml:space="preserve">function in mice lacking expression of OX40 ligand.</w:t>
      </w:r>
      <w:r>
        <w:t xml:space="preserve"> </w:t>
      </w:r>
      <w:r>
        <w:rPr>
          <w:i/>
        </w:rPr>
        <w:t xml:space="preserve">The Journal of</w:t>
      </w:r>
      <w:r>
        <w:rPr>
          <w:i/>
        </w:rPr>
        <w:t xml:space="preserve"> </w:t>
      </w:r>
      <w:r>
        <w:rPr>
          <w:i/>
        </w:rPr>
        <w:t xml:space="preserve">experimental medicine, 191</w:t>
      </w:r>
      <w:r>
        <w:t xml:space="preserve"> </w:t>
      </w:r>
      <w:r>
        <w:t xml:space="preserve">(2), 365-374.</w:t>
      </w:r>
    </w:p>
    <w:p>
      <w:pPr>
        <w:pStyle w:val="BodyText"/>
      </w:pPr>
      <w:r>
        <w:t xml:space="preserve">Oda, H., Kumar, S., &amp; Howley, P. M. (1999). Regulation of the Src</w:t>
      </w:r>
      <w:r>
        <w:t xml:space="preserve"> </w:t>
      </w:r>
      <w:r>
        <w:t xml:space="preserve">family tyrosine kinase Blk through E6AP-mediated ubiquitination.</w:t>
      </w:r>
      <w:r>
        <w:t xml:space="preserve"> </w:t>
      </w:r>
      <w:r>
        <w:rPr>
          <w:i/>
        </w:rPr>
        <w:t xml:space="preserve">Proc Natl Acad Sci U S A, 96</w:t>
      </w:r>
      <w:r>
        <w:t xml:space="preserve"> </w:t>
      </w:r>
      <w:r>
        <w:t xml:space="preserve">(17), 9557-9562.</w:t>
      </w:r>
    </w:p>
    <w:p>
      <w:pPr>
        <w:pStyle w:val="BodyText"/>
      </w:pPr>
      <w:r>
        <w:t xml:space="preserve">Petersen, D. L., Berthelsen, J., Willerslev-Olsen, A., Fredholm, S.,</w:t>
      </w:r>
      <w:r>
        <w:t xml:space="preserve"> </w:t>
      </w:r>
      <w:r>
        <w:t xml:space="preserve">Dabelsteen, S., Bonefeld, C. M., . . . Woetmann, A. (2017). A novel</w:t>
      </w:r>
      <w:r>
        <w:t xml:space="preserve"> </w:t>
      </w:r>
      <w:r>
        <w:t xml:space="preserve">BLK-induced tumor model.</w:t>
      </w:r>
      <w:r>
        <w:t xml:space="preserve"> </w:t>
      </w:r>
      <w:r>
        <w:rPr>
          <w:i/>
        </w:rPr>
        <w:t xml:space="preserve">Tumour Biol, 39</w:t>
      </w:r>
      <w:r>
        <w:t xml:space="preserve"> </w:t>
      </w:r>
      <w:r>
        <w:t xml:space="preserve">(7), 1010428317714196.</w:t>
      </w:r>
    </w:p>
    <w:p>
      <w:pPr>
        <w:pStyle w:val="BodyText"/>
      </w:pPr>
      <w:r>
        <w:t xml:space="preserve">Ramírez-Bello, J., Jiménez-Morales, S., Montufar-Robles, I., Fragoso, J.</w:t>
      </w:r>
      <w:r>
        <w:t xml:space="preserve"> </w:t>
      </w:r>
      <w:r>
        <w:t xml:space="preserve">M., Barbosa-Cobos, R. E., Saavedra, M. A., &amp; Sánchez-Muñoz, F. (2019).</w:t>
      </w:r>
      <w:r>
        <w:t xml:space="preserve"> </w:t>
      </w:r>
      <w:r>
        <w:t xml:space="preserve">BLK and BANK1 polymorphisms and interactions are associated in Mexican</w:t>
      </w:r>
      <w:r>
        <w:t xml:space="preserve"> </w:t>
      </w:r>
      <w:r>
        <w:t xml:space="preserve">patients with systemic lupus erythematosus.</w:t>
      </w:r>
      <w:r>
        <w:t xml:space="preserve"> </w:t>
      </w:r>
      <w:r>
        <w:rPr>
          <w:i/>
        </w:rPr>
        <w:t xml:space="preserve">Inflammation Research,</w:t>
      </w:r>
      <w:r>
        <w:rPr>
          <w:i/>
        </w:rPr>
        <w:t xml:space="preserve"> </w:t>
      </w:r>
      <w:r>
        <w:rPr>
          <w:i/>
        </w:rPr>
        <w:t xml:space="preserve">68</w:t>
      </w:r>
      <w:r>
        <w:t xml:space="preserve"> </w:t>
      </w:r>
      <w:r>
        <w:t xml:space="preserve">(8), 705-713.</w:t>
      </w:r>
    </w:p>
    <w:p>
      <w:pPr>
        <w:pStyle w:val="BodyText"/>
      </w:pPr>
      <w:r>
        <w:t xml:space="preserve">Rice, P., Longden, I., &amp; Bleasby, A. (2000). EMBOSS: the European</w:t>
      </w:r>
      <w:r>
        <w:t xml:space="preserve"> </w:t>
      </w:r>
      <w:r>
        <w:t xml:space="preserve">Molecular Biology Open Software Suite. </w:t>
      </w:r>
      <w:r>
        <w:rPr>
          <w:i/>
        </w:rPr>
        <w:t xml:space="preserve">Trends in genetics: TIG</w:t>
      </w:r>
      <w:r>
        <w:t xml:space="preserve"> </w:t>
      </w:r>
      <w:r>
        <w:t xml:space="preserve">, </w:t>
      </w:r>
      <w:r>
        <w:rPr>
          <w:i/>
        </w:rPr>
        <w:t xml:space="preserve">16</w:t>
      </w:r>
      <w:r>
        <w:t xml:space="preserve"> </w:t>
      </w:r>
      <w:r>
        <w:t xml:space="preserve">(6), 276-277.</w:t>
      </w:r>
    </w:p>
    <w:p>
      <w:pPr>
        <w:pStyle w:val="BodyText"/>
      </w:pPr>
      <w:r>
        <w:t xml:space="preserve">Rozewicki, J., Li, S., Amada, K. M., Standley, D. M., &amp; Katoh, K.</w:t>
      </w:r>
      <w:r>
        <w:t xml:space="preserve"> </w:t>
      </w:r>
      <w:r>
        <w:t xml:space="preserve">(2019). MAFFT-DASH: integrated protein sequence and structural</w:t>
      </w:r>
      <w:r>
        <w:t xml:space="preserve"> </w:t>
      </w:r>
      <w:r>
        <w:t xml:space="preserve">alignment. </w:t>
      </w:r>
      <w:r>
        <w:rPr>
          <w:i/>
        </w:rPr>
        <w:t xml:space="preserve">Nucleic acids research</w:t>
      </w:r>
      <w:r>
        <w:t xml:space="preserve"> </w:t>
      </w:r>
      <w:r>
        <w:t xml:space="preserve">, </w:t>
      </w:r>
      <w:r>
        <w:rPr>
          <w:i/>
        </w:rPr>
        <w:t xml:space="preserve">47</w:t>
      </w:r>
      <w:r>
        <w:t xml:space="preserve"> </w:t>
      </w:r>
      <w:r>
        <w:t xml:space="preserve">(W1), W5-W10.</w:t>
      </w:r>
    </w:p>
    <w:p>
      <w:pPr>
        <w:pStyle w:val="BodyText"/>
      </w:pPr>
      <w:r>
        <w:t xml:space="preserve">Schisler, J. C., Jensen, P. B., Taylor, D. G., Becker, T. C., Knop, F.</w:t>
      </w:r>
      <w:r>
        <w:t xml:space="preserve"> </w:t>
      </w:r>
      <w:r>
        <w:t xml:space="preserve">K., Takekawa, S., … &amp; Newgard, C. B. (2005). The Nkx6. 1</w:t>
      </w:r>
      <w:r>
        <w:t xml:space="preserve"> </w:t>
      </w:r>
      <w:r>
        <w:t xml:space="preserve">homeodomain transcription factor suppresses glucagon expression and</w:t>
      </w:r>
      <w:r>
        <w:t xml:space="preserve"> </w:t>
      </w:r>
      <w:r>
        <w:t xml:space="preserve">regulates glucose-stimulated insulin secretion in islet beta</w:t>
      </w:r>
      <w:r>
        <w:t xml:space="preserve"> </w:t>
      </w:r>
      <w:r>
        <w:t xml:space="preserve">cells. </w:t>
      </w:r>
      <w:r>
        <w:rPr>
          <w:i/>
        </w:rPr>
        <w:t xml:space="preserve">Proceedings of the National Academy of Sciences</w:t>
      </w:r>
      <w:r>
        <w:t xml:space="preserve"> </w:t>
      </w:r>
      <w:r>
        <w:t xml:space="preserve">, </w:t>
      </w:r>
      <w:r>
        <w:rPr>
          <w:i/>
        </w:rPr>
        <w:t xml:space="preserve">102</w:t>
      </w:r>
      <w:r>
        <w:t xml:space="preserve"> </w:t>
      </w:r>
      <w:r>
        <w:t xml:space="preserve">(20), 7297-7302.</w:t>
      </w:r>
    </w:p>
    <w:p>
      <w:pPr>
        <w:pStyle w:val="BodyText"/>
      </w:pPr>
      <w:r>
        <w:t xml:space="preserve">Schrödinger, L. (2016). Schrödinger Suite. </w:t>
      </w:r>
      <w:r>
        <w:rPr>
          <w:i/>
        </w:rPr>
        <w:t xml:space="preserve">Schrödinger, LLC, New</w:t>
      </w:r>
      <w:r>
        <w:rPr>
          <w:i/>
        </w:rPr>
        <w:t xml:space="preserve"> </w:t>
      </w:r>
      <w:r>
        <w:rPr>
          <w:i/>
        </w:rPr>
        <w:t xml:space="preserve">York, NY</w:t>
      </w:r>
      <w:r>
        <w:t xml:space="preserve"> </w:t>
      </w:r>
      <w:r>
        <w:t xml:space="preserve">.</w:t>
      </w:r>
    </w:p>
    <w:p>
      <w:pPr>
        <w:pStyle w:val="BodyText"/>
      </w:pPr>
      <w:r>
        <w:t xml:space="preserve">Sharma, R. B., O’Donnell, A. C., Stamateris, R. E., Ha, B., McCloskey,</w:t>
      </w:r>
      <w:r>
        <w:t xml:space="preserve"> </w:t>
      </w:r>
      <w:r>
        <w:t xml:space="preserve">K. M., Reynolds, P. R., … &amp; Alonso, L. C. (2015). Insulin demand</w:t>
      </w:r>
      <w:r>
        <w:t xml:space="preserve"> </w:t>
      </w:r>
      <w:r>
        <w:t xml:space="preserve">regulates β cell number via the unfolded protein response. </w:t>
      </w:r>
      <w:r>
        <w:rPr>
          <w:i/>
        </w:rPr>
        <w:t xml:space="preserve">The</w:t>
      </w:r>
      <w:r>
        <w:rPr>
          <w:i/>
        </w:rPr>
        <w:t xml:space="preserve"> </w:t>
      </w:r>
      <w:r>
        <w:rPr>
          <w:i/>
        </w:rPr>
        <w:t xml:space="preserve">Journal of clinical investigation</w:t>
      </w:r>
      <w:r>
        <w:t xml:space="preserve"> </w:t>
      </w:r>
      <w:r>
        <w:t xml:space="preserve">, </w:t>
      </w:r>
      <w:r>
        <w:rPr>
          <w:i/>
        </w:rPr>
        <w:t xml:space="preserve">125</w:t>
      </w:r>
      <w:r>
        <w:t xml:space="preserve"> </w:t>
      </w:r>
      <w:r>
        <w:t xml:space="preserve">(10), 3831-3846.</w:t>
      </w:r>
    </w:p>
    <w:p>
      <w:pPr>
        <w:pStyle w:val="BodyText"/>
      </w:pPr>
      <w:r>
        <w:t xml:space="preserve">Shen, Y., Liu, Y., Wang, X. Q., Ke, X., Kang, H. Y., &amp; Hong, S. L.</w:t>
      </w:r>
      <w:r>
        <w:t xml:space="preserve"> </w:t>
      </w:r>
      <w:r>
        <w:t xml:space="preserve">(2017). Association between TNFSF4 and BLK gene polymorphisms and</w:t>
      </w:r>
      <w:r>
        <w:t xml:space="preserve"> </w:t>
      </w:r>
      <w:r>
        <w:t xml:space="preserve">susceptibility to allergic rhinitis.</w:t>
      </w:r>
      <w:r>
        <w:rPr>
          <w:i/>
        </w:rPr>
        <w:t xml:space="preserve">Molecular medicine reports,</w:t>
      </w:r>
      <w:r>
        <w:rPr>
          <w:i/>
        </w:rPr>
        <w:t xml:space="preserve"> </w:t>
      </w:r>
      <w:r>
        <w:rPr>
          <w:i/>
        </w:rPr>
        <w:t xml:space="preserve">16</w:t>
      </w:r>
      <w:r>
        <w:t xml:space="preserve"> </w:t>
      </w:r>
      <w:r>
        <w:t xml:space="preserve">(3), 3224-3232.</w:t>
      </w:r>
    </w:p>
    <w:p>
      <w:pPr>
        <w:pStyle w:val="BodyText"/>
      </w:pPr>
      <w:r>
        <w:t xml:space="preserve">Singh, T., Biswas, D., &amp; Jayaram, B. (2011). AADS-An automated active</w:t>
      </w:r>
      <w:r>
        <w:t xml:space="preserve"> </w:t>
      </w:r>
      <w:r>
        <w:t xml:space="preserve">site identification, docking, and scoring protocol for protein targets</w:t>
      </w:r>
      <w:r>
        <w:t xml:space="preserve"> </w:t>
      </w:r>
      <w:r>
        <w:t xml:space="preserve">based on physicochemical descriptors. </w:t>
      </w:r>
      <w:r>
        <w:rPr>
          <w:i/>
        </w:rPr>
        <w:t xml:space="preserve">Journal of chemical</w:t>
      </w:r>
      <w:r>
        <w:rPr>
          <w:i/>
        </w:rPr>
        <w:t xml:space="preserve"> </w:t>
      </w:r>
      <w:r>
        <w:rPr>
          <w:i/>
        </w:rPr>
        <w:t xml:space="preserve">information and modeling</w:t>
      </w:r>
      <w:r>
        <w:t xml:space="preserve"> </w:t>
      </w:r>
      <w:r>
        <w:t xml:space="preserve">, </w:t>
      </w:r>
      <w:r>
        <w:rPr>
          <w:i/>
        </w:rPr>
        <w:t xml:space="preserve">51</w:t>
      </w:r>
      <w:r>
        <w:t xml:space="preserve"> </w:t>
      </w:r>
      <w:r>
        <w:t xml:space="preserve">(10), 2515-2527.</w:t>
      </w:r>
    </w:p>
    <w:p>
      <w:pPr>
        <w:pStyle w:val="BodyText"/>
      </w:pPr>
      <w:r>
        <w:t xml:space="preserve">Sliwoski, G., Kothiwale, S., Meiler, J., &amp; Lowe, E. W. (2014).</w:t>
      </w:r>
      <w:r>
        <w:t xml:space="preserve"> </w:t>
      </w:r>
      <w:r>
        <w:t xml:space="preserve">Computational methods in drug discovery. </w:t>
      </w:r>
      <w:r>
        <w:rPr>
          <w:i/>
        </w:rPr>
        <w:t xml:space="preserve">Pharmacological reviews</w:t>
      </w:r>
      <w:r>
        <w:t xml:space="preserve"> </w:t>
      </w:r>
      <w:r>
        <w:t xml:space="preserve">, </w:t>
      </w:r>
      <w:r>
        <w:rPr>
          <w:i/>
        </w:rPr>
        <w:t xml:space="preserve">66</w:t>
      </w:r>
      <w:r>
        <w:t xml:space="preserve"> </w:t>
      </w:r>
      <w:r>
        <w:t xml:space="preserve">(1), 334-395.</w:t>
      </w:r>
    </w:p>
    <w:p>
      <w:pPr>
        <w:pStyle w:val="BodyText"/>
      </w:pPr>
      <w:r>
        <w:t xml:space="preserve">Stelzer, G., Rosen, N., Plaschkes, I., Zimmerman, S., Twik, M.,</w:t>
      </w:r>
      <w:r>
        <w:t xml:space="preserve"> </w:t>
      </w:r>
      <w:r>
        <w:t xml:space="preserve">Fishilevich, S., … &amp; Kaplan, S. (2016). The GeneCards suite:</w:t>
      </w:r>
      <w:r>
        <w:t xml:space="preserve"> </w:t>
      </w:r>
      <w:r>
        <w:t xml:space="preserve">from gene data mining to disease genome sequence analyses. </w:t>
      </w:r>
      <w:r>
        <w:rPr>
          <w:i/>
        </w:rPr>
        <w:t xml:space="preserve">Current</w:t>
      </w:r>
      <w:r>
        <w:rPr>
          <w:i/>
        </w:rPr>
        <w:t xml:space="preserve"> </w:t>
      </w:r>
      <w:r>
        <w:rPr>
          <w:i/>
        </w:rPr>
        <w:t xml:space="preserve">protocols in bioinformatics</w:t>
      </w:r>
      <w:r>
        <w:t xml:space="preserve"> </w:t>
      </w:r>
      <w:r>
        <w:t xml:space="preserve">, </w:t>
      </w:r>
      <w:r>
        <w:rPr>
          <w:i/>
        </w:rPr>
        <w:t xml:space="preserve">54</w:t>
      </w:r>
      <w:r>
        <w:t xml:space="preserve"> </w:t>
      </w:r>
      <w:r>
        <w:t xml:space="preserve">(1), 1-30.</w:t>
      </w:r>
    </w:p>
    <w:p>
      <w:pPr>
        <w:pStyle w:val="BodyText"/>
      </w:pPr>
      <w:r>
        <w:t xml:space="preserve">Summy, J. M., &amp; Gallick, G. E. (2003). Src family kinases in tumor</w:t>
      </w:r>
      <w:r>
        <w:t xml:space="preserve"> </w:t>
      </w:r>
      <w:r>
        <w:t xml:space="preserve">progression and metastasis.</w:t>
      </w:r>
      <w:r>
        <w:rPr>
          <w:i/>
        </w:rPr>
        <w:t xml:space="preserve">Cancer and metastasis reviews, 22</w:t>
      </w:r>
      <w:r>
        <w:t xml:space="preserve"> </w:t>
      </w:r>
      <w:r>
        <w:t xml:space="preserve">(4),</w:t>
      </w:r>
      <w:r>
        <w:t xml:space="preserve"> </w:t>
      </w:r>
      <w:r>
        <w:t xml:space="preserve">337-358.</w:t>
      </w:r>
    </w:p>
    <w:p>
      <w:pPr>
        <w:pStyle w:val="BodyText"/>
      </w:pPr>
      <w:r>
        <w:t xml:space="preserve">Tretter, T., Ross, A. E., Dordai, D. I., &amp; Desiderio, S. (2003).</w:t>
      </w:r>
      <w:r>
        <w:t xml:space="preserve"> </w:t>
      </w:r>
      <w:r>
        <w:t xml:space="preserve">Mimicry of pre-B cell receptor signaling by activation of the tyrosine</w:t>
      </w:r>
      <w:r>
        <w:t xml:space="preserve"> </w:t>
      </w:r>
      <w:r>
        <w:t xml:space="preserve">kinase Blk.</w:t>
      </w:r>
      <w:r>
        <w:t xml:space="preserve"> </w:t>
      </w:r>
      <w:r>
        <w:rPr>
          <w:i/>
        </w:rPr>
        <w:t xml:space="preserve">J Exp Med, 198</w:t>
      </w:r>
      <w:r>
        <w:t xml:space="preserve"> </w:t>
      </w:r>
      <w:r>
        <w:t xml:space="preserve">(12), 1863-1873.</w:t>
      </w:r>
    </w:p>
    <w:p>
      <w:pPr>
        <w:pStyle w:val="BodyText"/>
      </w:pPr>
      <w:r>
        <w:t xml:space="preserve">Wass, M. N., Kelley, L. A., &amp; Sternberg, M. J. (2010). 3DLigandSite:</w:t>
      </w:r>
      <w:r>
        <w:t xml:space="preserve"> </w:t>
      </w:r>
      <w:r>
        <w:t xml:space="preserve">predicting ligand-binding sites using similar structures. </w:t>
      </w:r>
      <w:r>
        <w:rPr>
          <w:i/>
        </w:rPr>
        <w:t xml:space="preserve">Nucleic</w:t>
      </w:r>
      <w:r>
        <w:rPr>
          <w:i/>
        </w:rPr>
        <w:t xml:space="preserve"> </w:t>
      </w:r>
      <w:r>
        <w:rPr>
          <w:i/>
        </w:rPr>
        <w:t xml:space="preserve">acids research</w:t>
      </w:r>
      <w:r>
        <w:t xml:space="preserve"> </w:t>
      </w:r>
      <w:r>
        <w:t xml:space="preserve">, </w:t>
      </w:r>
      <w:r>
        <w:rPr>
          <w:i/>
        </w:rPr>
        <w:t xml:space="preserve">38</w:t>
      </w:r>
      <w:r>
        <w:t xml:space="preserve"> </w:t>
      </w:r>
      <w:r>
        <w:t xml:space="preserve">(suppl_2), W469-W473.</w:t>
      </w:r>
    </w:p>
    <w:p>
      <w:pPr>
        <w:pStyle w:val="BodyText"/>
      </w:pPr>
      <w:r>
        <w:t xml:space="preserve">Waterhouse, A., Bertoni, M., Bienert, S., Studer, G., Tauriello, G.,</w:t>
      </w:r>
      <w:r>
        <w:t xml:space="preserve"> </w:t>
      </w:r>
      <w:r>
        <w:t xml:space="preserve">Gumienny, R., … &amp; Lepore, R. (2018). SWISS-MODEL: homology</w:t>
      </w:r>
      <w:r>
        <w:t xml:space="preserve"> </w:t>
      </w:r>
      <w:r>
        <w:t xml:space="preserve">modelling of protein structures and complexes. </w:t>
      </w:r>
      <w:r>
        <w:rPr>
          <w:i/>
        </w:rPr>
        <w:t xml:space="preserve">Nucleic acids</w:t>
      </w:r>
      <w:r>
        <w:rPr>
          <w:i/>
        </w:rPr>
        <w:t xml:space="preserve"> </w:t>
      </w:r>
      <w:r>
        <w:rPr>
          <w:i/>
        </w:rPr>
        <w:t xml:space="preserve">research</w:t>
      </w:r>
      <w:r>
        <w:t xml:space="preserve"> </w:t>
      </w:r>
      <w:r>
        <w:t xml:space="preserve">, </w:t>
      </w:r>
      <w:r>
        <w:rPr>
          <w:i/>
        </w:rPr>
        <w:t xml:space="preserve">46</w:t>
      </w:r>
      <w:r>
        <w:t xml:space="preserve"> </w:t>
      </w:r>
      <w:r>
        <w:t xml:space="preserve">(W1), W296-W303.</w:t>
      </w:r>
    </w:p>
    <w:p>
      <w:pPr>
        <w:pStyle w:val="BodyText"/>
      </w:pPr>
      <w:r>
        <w:rPr>
          <w:b/>
        </w:rPr>
        <w:t xml:space="preserve">Figure legends:</w:t>
      </w:r>
    </w:p>
    <w:p>
      <w:pPr>
        <w:pStyle w:val="BodyText"/>
      </w:pPr>
      <w:r>
        <w:rPr>
          <w:b/>
        </w:rPr>
        <w:t xml:space="preserve">Fig. 1</w:t>
      </w:r>
      <w:r>
        <w:t xml:space="preserve"> </w:t>
      </w:r>
      <w:r>
        <w:t xml:space="preserve">Year-wise publication of BLK in PubMed.</w:t>
      </w:r>
    </w:p>
    <w:p>
      <w:pPr>
        <w:pStyle w:val="BodyText"/>
      </w:pPr>
      <w:r>
        <w:rPr>
          <w:b/>
        </w:rPr>
        <w:t xml:space="preserve">Fig. 2</w:t>
      </w:r>
      <w:r>
        <w:t xml:space="preserve"> </w:t>
      </w:r>
      <w:r>
        <w:t xml:space="preserve">Amino acid distribution throughout the sequence of BLK.</w:t>
      </w:r>
    </w:p>
    <w:p>
      <w:pPr>
        <w:pStyle w:val="BodyText"/>
      </w:pPr>
      <w:r>
        <w:rPr>
          <w:b/>
        </w:rPr>
        <w:t xml:space="preserve">Fig. 3</w:t>
      </w:r>
      <w:r>
        <w:t xml:space="preserve"> </w:t>
      </w:r>
      <w:r>
        <w:t xml:space="preserve">Count of Secondary structure components.</w:t>
      </w:r>
    </w:p>
    <w:p>
      <w:pPr>
        <w:pStyle w:val="BodyText"/>
      </w:pPr>
      <w:r>
        <w:rPr>
          <w:b/>
        </w:rPr>
        <w:t xml:space="preserve">Fig. 4</w:t>
      </w:r>
      <w:r>
        <w:t xml:space="preserve"> </w:t>
      </w:r>
      <w:r>
        <w:t xml:space="preserve">Secondary structure of Human BLK.</w:t>
      </w:r>
    </w:p>
    <w:p>
      <w:pPr>
        <w:pStyle w:val="BodyText"/>
      </w:pPr>
      <w:r>
        <w:rPr>
          <w:b/>
        </w:rPr>
        <w:t xml:space="preserve">Fig. 5</w:t>
      </w:r>
      <w:r>
        <w:t xml:space="preserve"> </w:t>
      </w:r>
      <w:r>
        <w:t xml:space="preserve">(A) Homology model of BLK, (B) Predicted active site.</w:t>
      </w:r>
    </w:p>
    <w:p>
      <w:pPr>
        <w:pStyle w:val="BodyText"/>
      </w:pPr>
      <w:r>
        <w:rPr>
          <w:b/>
        </w:rPr>
        <w:t xml:space="preserve">Fig 6.</w:t>
      </w:r>
      <w:r>
        <w:t xml:space="preserve"> </w:t>
      </w:r>
      <w:r>
        <w:t xml:space="preserve">Refined BLK structures a) VMD refined structure and b)</w:t>
      </w:r>
      <w:r>
        <w:t xml:space="preserve"> </w:t>
      </w:r>
      <w:r>
        <w:t xml:space="preserve">i3DRefine refined structure.</w:t>
      </w:r>
    </w:p>
    <w:p>
      <w:pPr>
        <w:pStyle w:val="BodyText"/>
      </w:pPr>
      <w:r>
        <w:rPr>
          <w:b/>
        </w:rPr>
        <w:t xml:space="preserve">Fig. 7</w:t>
      </w:r>
      <w:r>
        <w:t xml:space="preserve"> </w:t>
      </w:r>
      <w:r>
        <w:t xml:space="preserve">Ramachandran Plot for BLK.</w:t>
      </w:r>
    </w:p>
    <w:p>
      <w:pPr>
        <w:pStyle w:val="BodyText"/>
      </w:pPr>
      <w:r>
        <w:rPr>
          <w:b/>
        </w:rPr>
        <w:t xml:space="preserve">Fig. 8</w:t>
      </w:r>
      <w:r>
        <w:t xml:space="preserve"> </w:t>
      </w:r>
      <w:r>
        <w:t xml:space="preserve">Level of mRNA expression in normal human tissue.</w:t>
      </w:r>
    </w:p>
    <w:p>
      <w:pPr>
        <w:pStyle w:val="BodyText"/>
      </w:pPr>
      <w:r>
        <w:rPr>
          <w:b/>
        </w:rPr>
        <w:t xml:space="preserve">Fig. 9</w:t>
      </w:r>
      <w:r>
        <w:t xml:space="preserve"> </w:t>
      </w:r>
      <w:r>
        <w:t xml:space="preserve">Predicted antigenic region on BLK.</w:t>
      </w:r>
    </w:p>
    <w:p>
      <w:pPr>
        <w:pStyle w:val="BodyText"/>
      </w:pPr>
      <w:r>
        <w:rPr>
          <w:b/>
        </w:rPr>
        <w:t xml:space="preserve">Fig. 10</w:t>
      </w:r>
      <w:r>
        <w:t xml:space="preserve"> </w:t>
      </w:r>
      <w:r>
        <w:t xml:space="preserve">Predicted domains on BLK.</w:t>
      </w:r>
    </w:p>
    <w:p>
      <w:pPr>
        <w:pStyle w:val="BodyText"/>
      </w:pPr>
      <w:r>
        <w:rPr>
          <w:b/>
        </w:rPr>
        <w:t xml:space="preserve">Fig. 11</w:t>
      </w:r>
      <w:r>
        <w:t xml:space="preserve"> </w:t>
      </w:r>
      <w:r>
        <w:t xml:space="preserve">Graphical representation of annotations of the BLK.</w:t>
      </w:r>
    </w:p>
    <w:p>
      <w:pPr>
        <w:pStyle w:val="BodyText"/>
      </w:pPr>
      <w:r>
        <w:rPr>
          <w:b/>
        </w:rPr>
        <w:t xml:space="preserve">Fig. 12</w:t>
      </w:r>
      <w:r>
        <w:t xml:space="preserve"> </w:t>
      </w:r>
      <w:r>
        <w:t xml:space="preserve">Phylogenetic tree of the BLK from every species</w:t>
      </w:r>
      <w:r>
        <w:t xml:space="preserve"> </w:t>
      </w:r>
      <w:r>
        <w:t xml:space="preserve">reported yet.</w:t>
      </w:r>
    </w:p>
    <w:p>
      <w:pPr>
        <w:pStyle w:val="BodyText"/>
      </w:pPr>
      <w:r>
        <w:drawing>
          <wp:inline>
            <wp:extent cx="2162143" cy="127220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1/imag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43" cy="1272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21198" cy="168812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2/imag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1688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79868" cy="137618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3/imag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68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293704" cy="209792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4/imag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04" cy="2097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09589" cy="189913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5/imag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89" cy="1899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26800" cy="8052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6/image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00" cy="8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35600" cy="7392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7/image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00" cy="73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a) b)</w:t>
      </w:r>
    </w:p>
    <w:p>
      <w:pPr>
        <w:pStyle w:val="BodyText"/>
      </w:pPr>
      <w:r>
        <w:drawing>
          <wp:inline>
            <wp:extent cx="1526038" cy="152909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8/image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38" cy="1529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90587" cy="137924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9/image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87" cy="1379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259029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10/image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2590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229058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11/image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22905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212238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12/image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21223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28000" cy="10848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13/image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00" cy="108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Table 1.</w:t>
      </w:r>
      <w:r>
        <w:t xml:space="preserve"> </w:t>
      </w:r>
      <w:r>
        <w:t xml:space="preserve">Results of refinement software(s) for refined BLK</w:t>
      </w:r>
      <w:r>
        <w:t xml:space="preserve"> </w:t>
      </w:r>
      <w:r>
        <w:t xml:space="preserve">protein structure.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Model Refinement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Clash Score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GDT-HA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RMSD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MolProbity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Poor Rotamers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RWPlus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Rama Favoured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VMD</w:t>
            </w:r>
          </w:p>
        </w:tc>
        <w:tc>
          <w:p>
            <w:pPr>
              <w:pStyle w:val="Compact"/>
              <w:jc w:val="left"/>
            </w:pPr>
            <w:r>
              <w:t xml:space="preserve">0.5</w:t>
            </w:r>
          </w:p>
        </w:tc>
        <w:tc>
          <w:p>
            <w:pPr>
              <w:pStyle w:val="Compact"/>
              <w:jc w:val="left"/>
            </w:pPr>
            <w:r>
              <w:t xml:space="preserve">0.9792</w:t>
            </w:r>
          </w:p>
        </w:tc>
        <w:tc>
          <w:p>
            <w:pPr>
              <w:pStyle w:val="Compact"/>
              <w:jc w:val="left"/>
            </w:pPr>
            <w:r>
              <w:t xml:space="preserve">0.325</w:t>
            </w:r>
          </w:p>
        </w:tc>
        <w:tc>
          <w:p>
            <w:pPr>
              <w:pStyle w:val="Compact"/>
              <w:jc w:val="left"/>
            </w:pPr>
            <w:r>
              <w:t xml:space="preserve">9.7</w:t>
            </w:r>
          </w:p>
        </w:tc>
        <w:tc>
          <w:p>
            <w:pPr>
              <w:pStyle w:val="Compact"/>
              <w:jc w:val="left"/>
            </w:pPr>
            <w:r>
              <w:t xml:space="preserve">0.0</w:t>
            </w:r>
          </w:p>
        </w:tc>
        <w:tc>
          <w:p>
            <w:pPr>
              <w:pStyle w:val="Compact"/>
              <w:jc w:val="left"/>
            </w:pPr>
            <w:r>
              <w:t xml:space="preserve">-98320.0905</w:t>
            </w:r>
          </w:p>
        </w:tc>
        <w:tc>
          <w:p>
            <w:pPr>
              <w:pStyle w:val="Compact"/>
              <w:jc w:val="left"/>
            </w:pPr>
            <w:r>
              <w:t xml:space="preserve">98.2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i3DRefine</w:t>
            </w:r>
          </w:p>
        </w:tc>
        <w:tc>
          <w:p>
            <w:pPr>
              <w:pStyle w:val="Compact"/>
              <w:jc w:val="left"/>
            </w:pPr>
            <w:r>
              <w:t xml:space="preserve">0.56</w:t>
            </w:r>
          </w:p>
        </w:tc>
        <w:tc>
          <w:p>
            <w:pPr>
              <w:pStyle w:val="Compact"/>
              <w:jc w:val="left"/>
            </w:pPr>
            <w:r>
              <w:t xml:space="preserve">0.9977</w:t>
            </w:r>
          </w:p>
        </w:tc>
        <w:tc>
          <w:p>
            <w:pPr>
              <w:pStyle w:val="Compact"/>
              <w:jc w:val="left"/>
            </w:pPr>
            <w:r>
              <w:t xml:space="preserve">1.213</w:t>
            </w:r>
          </w:p>
        </w:tc>
        <w:tc>
          <w:p>
            <w:pPr>
              <w:pStyle w:val="Compact"/>
              <w:jc w:val="left"/>
            </w:pPr>
            <w:r>
              <w:t xml:space="preserve">8.6</w:t>
            </w:r>
          </w:p>
        </w:tc>
        <w:tc>
          <w:p>
            <w:pPr>
              <w:pStyle w:val="Compact"/>
              <w:jc w:val="left"/>
            </w:pPr>
            <w:r>
              <w:t xml:space="preserve">0.3</w:t>
            </w:r>
          </w:p>
        </w:tc>
        <w:tc>
          <w:p>
            <w:pPr>
              <w:pStyle w:val="Compact"/>
              <w:jc w:val="left"/>
            </w:pPr>
            <w:r>
              <w:t xml:space="preserve">-98193.9601</w:t>
            </w:r>
          </w:p>
        </w:tc>
        <w:tc>
          <w:p>
            <w:pPr>
              <w:pStyle w:val="Compact"/>
              <w:jc w:val="left"/>
            </w:pPr>
            <w:r>
              <w:t xml:space="preserve">97.7</w:t>
            </w:r>
          </w:p>
        </w:tc>
      </w:tr>
    </w:tbl>
    <w:p>
      <w:pPr>
        <w:pStyle w:val="BodyText"/>
      </w:pPr>
      <w:r>
        <w:drawing>
          <wp:inline>
            <wp:extent cx="2162143" cy="127220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1/Fig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43" cy="1272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21198" cy="168812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2/Fig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1688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79868" cy="137618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3/Fig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68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59767" cy="222636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4/Fig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67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153027" cy="212544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5/Fig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27" cy="2125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21495" cy="142817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6/Fig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95" cy="1428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526038" cy="152909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7/Fig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38" cy="1529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90587" cy="137924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8/Fig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87" cy="1379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259029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9/Fig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2590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229058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10/Fig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22905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212238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11/Fig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21223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36489" cy="3336489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12/Fig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89" cy="3336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f4dbca4f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4" Target="media/rId34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Human BLK tyrosine protein kinase is closely related to Pongo Albelli: An in silico structural and functional analysis</dc:title>
  <dc:creator>Princy Princy; Shaban Ahmad; Fatima Khan; Sahil Mehta; Sahar Qazi; Khalid Raza</dc:creator>
  <dcterms:created xsi:type="dcterms:W3CDTF">2020-04-06T16:55:33Z</dcterms:created>
  <dcterms:modified xsi:type="dcterms:W3CDTF">2020-04-06T16:55:33Z</dcterms:modified>
</cp:coreProperties>
</file>