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1.tiff" ContentType="image/tiff"/>
  <Override PartName="/word/media/rId32.pdf" ContentType="application/pdf"/>
  <Override PartName="/word/media/rId33.pdf" ContentType="application/pdf"/>
  <Override PartName="/word/media/rId34.pdf" ContentType="application/pdf"/>
  <Override PartName="/word/media/rId43.pdf" ContentType="application/pdf"/>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combined</w:t>
      </w:r>
      <w:r>
        <w:t xml:space="preserve"> </w:t>
      </w:r>
      <w:r>
        <w:t xml:space="preserve">model</w:t>
      </w:r>
      <w:r>
        <w:t xml:space="preserve"> </w:t>
      </w:r>
      <w:r>
        <w:t xml:space="preserve">for</w:t>
      </w:r>
      <w:r>
        <w:t xml:space="preserve"> </w:t>
      </w:r>
      <w:r>
        <w:t xml:space="preserve">aggregation</w:t>
      </w:r>
      <w:r>
        <w:t xml:space="preserve"> </w:t>
      </w:r>
      <w:r>
        <w:t xml:space="preserve">and</w:t>
      </w:r>
      <w:r>
        <w:t xml:space="preserve"> </w:t>
      </w:r>
      <w:r>
        <w:t xml:space="preserve">network</w:t>
      </w:r>
      <w:r>
        <w:t xml:space="preserve"> </w:t>
      </w:r>
      <w:r>
        <w:t xml:space="preserve">diffusion</w:t>
      </w:r>
      <w:r>
        <w:t xml:space="preserve"> </w:t>
      </w:r>
      <w:r>
        <w:t xml:space="preserve">in</w:t>
      </w:r>
      <w:r>
        <w:t xml:space="preserve"> </w:t>
      </w:r>
      <w:r>
        <w:t xml:space="preserve">Alzheimer’s</w:t>
      </w:r>
      <w:r>
        <w:t xml:space="preserve"> </w:t>
      </w:r>
      <w:r>
        <w:t xml:space="preserve">disease</w:t>
      </w:r>
      <w:r>
        <w:t xml:space="preserve"> </w:t>
      </w:r>
      <w:r>
        <w:t xml:space="preserve">recapitulates</w:t>
      </w:r>
      <w:r>
        <w:t xml:space="preserve"> </w:t>
      </w:r>
      <w:r>
        <w:t xml:space="preserve">regional</w:t>
      </w:r>
      <w:r>
        <w:t xml:space="preserve"> </w:t>
      </w:r>
      <w:r>
        <w:t xml:space="preserve">human</w:t>
      </w:r>
      <w:r>
        <w:t xml:space="preserve"> </w:t>
      </w:r>
      <w:r>
        <w:t xml:space="preserve">tau-PET</w:t>
      </w:r>
      <w:r>
        <w:t xml:space="preserve"> </w:t>
      </w:r>
      <w:r>
        <w:t xml:space="preserve">patterns</w:t>
      </w:r>
    </w:p>
    <w:p>
      <w:pPr>
        <w:pStyle w:val="Author"/>
      </w:pPr>
      <w:r>
        <w:t xml:space="preserve">ashish</w:t>
      </w:r>
      <w:r>
        <w:t xml:space="preserve"> </w:t>
      </w:r>
      <w:r>
        <w:t xml:space="preserve">raj</w:t>
      </w:r>
    </w:p>
    <w:p>
      <w:pPr>
        <w:pStyle w:val="Heading1"/>
      </w:pPr>
      <w:bookmarkStart w:id="21" w:name="abstract"/>
      <w:bookmarkEnd w:id="21"/>
      <w:r>
        <w:t xml:space="preserve">Abstract</w:t>
      </w:r>
    </w:p>
    <w:p>
      <w:pPr>
        <w:pStyle w:val="FirstParagraph"/>
      </w:pPr>
      <w:r>
        <w:t xml:space="preserve">Alzheimer’s disease involves widespread and progressive deposition of misfolded protein tau in tangles (Braak and Braak 1991; Thal et al. 2002). In AD patients, misfolded tau first appears in the trans- and ento-rhinal cortices, coagulates in longer polymers and insoluble fibrils, and subsequently begins a protracted process of propagation through the tortuosities of the cerebral tissue.</w:t>
      </w:r>
    </w:p>
    <w:p>
      <w:pPr>
        <w:pStyle w:val="BodyText"/>
      </w:pPr>
      <w:r>
        <w:t xml:space="preserve">We proposed a parsimonious mathematical model of the three pathological processes involved in the progression of</w:t>
      </w:r>
      <w:r>
        <w:t xml:space="preserve"> </w:t>
      </w:r>
      <m:oMath>
        <m:r>
          <m:t>τ</m:t>
        </m:r>
      </m:oMath>
      <w:r>
        <w:t xml:space="preserve"> </w:t>
      </w:r>
      <w:r>
        <w:t xml:space="preserve">proteins throughout the Alzheimer brain: monomer production; aggregation into oligomers and then into tangles; and the spatiotemporal progression of misfolded</w:t>
      </w:r>
      <w:r>
        <w:t xml:space="preserve"> </w:t>
      </w:r>
      <m:oMath>
        <m:r>
          <m:t>τ</m:t>
        </m:r>
      </m:oMath>
      <w:r>
        <w:t xml:space="preserve"> </w:t>
      </w:r>
      <w:r>
        <w:t xml:space="preserve">as it ramifies into neural circuits along white matter projections. Initial production of misfolded monomeric</w:t>
      </w:r>
      <w:r>
        <w:t xml:space="preserve"> </w:t>
      </w:r>
      <m:oMath>
        <m:r>
          <m:t>τ</m:t>
        </m:r>
      </m:oMath>
      <w:r>
        <w:t xml:space="preserve"> </w:t>
      </w:r>
      <w:r>
        <w:t xml:space="preserve">was assumed to occur specifically at the entorhinal cortex, based on histopathological Braak staging. The pathological underpinnings of both protein aggregation and networked spread are given by mounting evidence for</w:t>
      </w:r>
      <w:r>
        <w:t xml:space="preserve"> </w:t>
      </w:r>
      <w:r>
        <w:t xml:space="preserve">“</w:t>
      </w:r>
      <w:r>
        <w:t xml:space="preserve">prion-like</w:t>
      </w:r>
      <w:r>
        <w:t xml:space="preserve">”</w:t>
      </w:r>
      <w:r>
        <w:t xml:space="preserve"> </w:t>
      </w:r>
      <w:r>
        <w:t xml:space="preserve">trans-neuronal transmission, whereby proteins misfold, trigger misfolding of adjacent same-species proteins, and thereupon cascade along neuronal pathways (Clavaguera et al. 2009; Frost and Diamond 2010; Iba et al. 2015; Jucker and Walker 2013). Trans-neuronal transmission implies spread along axonal projections rather than spatially. Bidirectional transmissions was assumed through projection fibers, under a previously established Network-Diffusion process whereby anatomic connections govern the rate at which two distant but connected brain regions can transfer pathologic</w:t>
      </w:r>
      <w:r>
        <w:t xml:space="preserve"> </w:t>
      </w:r>
      <m:oMath>
        <m:r>
          <m:t>τ</m:t>
        </m:r>
      </m:oMath>
      <w:r>
        <w:t xml:space="preserve">. This combined model, which we call Aggregation-Network-Diffusion (AND), exhibits all hallmarks of tau progression seen in human patients. can explain many experimental findings in AD. The presented AND model unifies structural biochemical processes at the microscopic scales with local and long range trans-neuronal transmission processes at the macroscopic scales in a single, quantitative and therefore testable model. To our knowledge, this is the first theoretical model of protein aggregation and transmission to be developed or tested on a macroscopic, whole brain scale.</w:t>
      </w:r>
    </w:p>
    <w:p>
      <w:pPr>
        <w:pStyle w:val="Heading1"/>
      </w:pPr>
      <w:bookmarkStart w:id="22" w:name="introduction"/>
      <w:bookmarkEnd w:id="22"/>
      <w:r>
        <w:t xml:space="preserve">Introduction</w:t>
      </w:r>
    </w:p>
    <w:p>
      <w:pPr>
        <w:pStyle w:val="FirstParagraph"/>
      </w:pPr>
      <w:r>
        <w:t xml:space="preserve">Alzheimer’s disease (AD) involves widespread and progressive deposition of amyloid beta (</w:t>
      </w:r>
      <m:oMath>
        <m:r>
          <m:t>A</m:t>
        </m:r>
        <m:r>
          <m:t>β</m:t>
        </m:r>
      </m:oMath>
      <w:r>
        <w:t xml:space="preserve"> </w:t>
      </w:r>
      <w:r>
        <w:t xml:space="preserve">from now on) protein in cortical plaques and of protein tau (</w:t>
      </w:r>
      <m:oMath>
        <m:r>
          <m:t>τ</m:t>
        </m:r>
      </m:oMath>
      <w:r>
        <w:t xml:space="preserve"> </w:t>
      </w:r>
      <w:r>
        <w:t xml:space="preserve">from now on) in tangles (Braak and Braak 1991; Thal et al. 2002). The</w:t>
      </w:r>
      <w:r>
        <w:t xml:space="preserve"> </w:t>
      </w:r>
      <m:oMath>
        <m:r>
          <m:t>τ</m:t>
        </m:r>
      </m:oMath>
      <w:r>
        <w:t xml:space="preserve">-protein is mostly found within the neurons and the its main established function is the promotion of</w:t>
      </w:r>
      <w:r>
        <w:t xml:space="preserve"> </w:t>
      </w:r>
      <w:r>
        <w:t xml:space="preserve">the assembly of tubulin into microtubules and stabilization of their structure. By certain partially understood mechanisms, in AD patients, the microtubule-associated tau protein undergoes hyperphosphorylation, losing its stabilizing function, and eventually aggregating into neurofibrillary tangles (NFT). The misfolded protein then starts diffusing through the tortuosities of the cerebral tissue and to coagulate, first in longer polymers and then in the form of insoluble fibrils into so-called</w:t>
      </w:r>
      <w:r>
        <w:t xml:space="preserve"> </w:t>
      </w:r>
      <w:r>
        <w:rPr>
          <w:i/>
        </w:rPr>
        <w:t xml:space="preserve">neurofibrillary tangles</w:t>
      </w:r>
      <w:r>
        <w:t xml:space="preserve"> </w:t>
      </w:r>
      <w:r>
        <w:t xml:space="preserve">.</w:t>
      </w:r>
      <w:r>
        <w:t xml:space="preserve"> </w:t>
      </w:r>
      <m:oMath>
        <m:r>
          <m:t>τ</m:t>
        </m:r>
      </m:oMath>
      <w:r>
        <w:t xml:space="preserve"> </w:t>
      </w:r>
      <w:r>
        <w:t xml:space="preserve">tangles appear first in locus coeruleus, then entorhinal cortex, then spreads into hippocampus, amygdala, temporal lobe, basal forebrain and association areas, in that order (Braak and Braak 1991). A wealth of evidence suggests that metastable, soluble oligomers formed early in the aggregation process and small fibril fragments are the predominant toxic species.</w:t>
      </w:r>
    </w:p>
    <w:p>
      <w:pPr>
        <w:pStyle w:val="BodyText"/>
      </w:pPr>
      <w:r>
        <w:t xml:space="preserve">The typical driving force in protein aggregation is believed to be destabilization of the native protein to yield a population of partially folded intermediates with increased aggregation propensity (Gillam and MacPhee 2013). One of the first biophysical models of this process was the</w:t>
      </w:r>
      <w:r>
        <w:t xml:space="preserve"> </w:t>
      </w:r>
      <w:r>
        <w:t xml:space="preserve">“</w:t>
      </w:r>
      <w:r>
        <w:t xml:space="preserve">heteromer</w:t>
      </w:r>
      <w:r>
        <w:t xml:space="preserve">”</w:t>
      </w:r>
      <w:r>
        <w:t xml:space="preserve"> </w:t>
      </w:r>
      <w:r>
        <w:t xml:space="preserve">model of Pruisiner and colleagues (Prusiner et al. 1990), followed by nucleated polymerization (NPM)(Masel, Jansen, and Nowak 1999). Protein conformational change is typically described as</w:t>
      </w:r>
      <w:r>
        <w:t xml:space="preserve"> </w:t>
      </w:r>
      <w:r>
        <w:t xml:space="preserve">“</w:t>
      </w:r>
      <w:r>
        <w:t xml:space="preserve">monomer activation</w:t>
      </w:r>
      <w:r>
        <w:t xml:space="preserve">”</w:t>
      </w:r>
      <w:r>
        <w:t xml:space="preserve"> </w:t>
      </w:r>
      <w:r>
        <w:t xml:space="preserve">(Morris, Watzky, and Finke 2009). Subsequent fibrillation follows a nucleation-elongation process. Small, oligomeric species may then form by association of the partially folded protein units and proceed to assemble into larger, fibrillar aggregates which in turn associate into mature fibril-like amyloid structures (Serpell, Sunde, and Blake 1997; Gillam and MacPhee 2013). The protein aggregation literature is extensive and numerous recent reviews describe our current understanding of amyloid fibril structure (Serpell, Sunde, and Blake 1997; Eisenberg and Jucker 2012), mechanism of toxicity (Walsh and Selkoe 2007; Eisenberg and Jucker 2012) and the aggregation process (Wetzel 1996). An excellent overview of historical contributions to kinetic and thermodynamic descriptions of protein aggregation are given by Morris et al (Morris, Watzky, and Finke 2009), and several current mathematical models of protein aggregation were reviewed in (Gillam and MacPhee 2013). Although mathematical models of protein aggregation have been explored in related prion disease (Serpell, Sunde, and Blake 1997; Morris, Watzky, and Finke 2009), they have hitherto been scarce in Alzheimers’s and dementia - but see (Murphy and Pallitto 2000; Achdou et al. 2013; Gillam and MacPhee 2013; Bertsch et al. 2017; Franchi and Lorenzani 2016; Franchi and Lorenzani 2017) and a thorough review (Carbonell, Iturria-Medina, and Evans 2018). Since aggregation models involve detailed reaction kinetics, their parameters are typically learned from</w:t>
      </w:r>
      <w:r>
        <w:t xml:space="preserve"> </w:t>
      </w:r>
      <w:r>
        <w:rPr>
          <w:i/>
        </w:rPr>
        <w:t xml:space="preserve">in vitro</w:t>
      </w:r>
      <w:r>
        <w:t xml:space="preserve"> </w:t>
      </w:r>
      <w:r>
        <w:t xml:space="preserve">aggregation experiments.</w:t>
      </w:r>
    </w:p>
    <w:p>
      <w:pPr>
        <w:pStyle w:val="BodyText"/>
      </w:pPr>
      <w:r>
        <w:t xml:space="preserve">The cause-effect mechanisms by which various oligomeric</w:t>
      </w:r>
      <w:r>
        <w:t xml:space="preserve"> </w:t>
      </w:r>
      <m:oMath>
        <m:r>
          <m:t>τ</m:t>
        </m:r>
      </m:oMath>
      <w:r>
        <w:t xml:space="preserve"> </w:t>
      </w:r>
      <w:r>
        <w:t xml:space="preserve">species are produced, aggregate and disseminate, and how they cause neurodegeneration and symptomatology, are unknown. Many important questions in AD research remain unresolved: How does protein aggregation and subsequent spread lead to stereotyped progression in the AD brain? Why do misfolded</w:t>
      </w:r>
      <w:r>
        <w:t xml:space="preserve"> </w:t>
      </w:r>
      <m:oMath>
        <m:r>
          <m:t>τ</m:t>
        </m:r>
      </m:oMath>
      <w:r>
        <w:t xml:space="preserve"> </w:t>
      </w:r>
      <w:r>
        <w:t xml:space="preserve">oligomers selectively target certain specific structures? Can mathematically precise models that describe these processes recapitulate</w:t>
      </w:r>
      <w:r>
        <w:t xml:space="preserve"> </w:t>
      </w:r>
      <w:r>
        <w:rPr>
          <w:i/>
        </w:rPr>
        <w:t xml:space="preserve">in vivo</w:t>
      </w:r>
      <w:r>
        <w:t xml:space="preserve"> </w:t>
      </w:r>
      <w:r>
        <w:t xml:space="preserve">measurements in human brains? Despite advent of biophysical models of protein aggregation, it remains unknown whether they are capable of recapitulating human disease</w:t>
      </w:r>
      <w:r>
        <w:t xml:space="preserve"> </w:t>
      </w:r>
      <w:r>
        <w:rPr>
          <w:i/>
        </w:rPr>
        <w:t xml:space="preserve">in vivo</w:t>
      </w:r>
      <w:r>
        <w:t xml:space="preserve">. Most previous aggregation models were restricted to local processes, without accounting for spatial or network spread. Some early work was done to incorporate classical spatial diffusion in prion aggregation models (Payne and Krakauer 1998), in truncated Smoluchowski equations (Bertsch et al. 2017) and in NPM model (Matthäus 2006). The latter in particular also explored a kind of network spread, but relied on</w:t>
      </w:r>
      <w:r>
        <w:t xml:space="preserve"> </w:t>
      </w:r>
      <w:r>
        <w:t xml:space="preserve">“</w:t>
      </w:r>
      <w:r>
        <w:t xml:space="preserve">toy</w:t>
      </w:r>
      <w:r>
        <w:t xml:space="preserve">”</w:t>
      </w:r>
      <w:r>
        <w:t xml:space="preserve"> </w:t>
      </w:r>
      <w:r>
        <w:t xml:space="preserve">connectomes and did not compare model outputs to real</w:t>
      </w:r>
      <w:r>
        <w:t xml:space="preserve"> </w:t>
      </w:r>
      <w:r>
        <w:rPr>
          <w:i/>
        </w:rPr>
        <w:t xml:space="preserve">in vivo</w:t>
      </w:r>
      <w:r>
        <w:t xml:space="preserve"> </w:t>
      </w:r>
      <w:r>
        <w:t xml:space="preserve">data (Matthäus 2006).</w:t>
      </w:r>
    </w:p>
    <w:p>
      <w:pPr>
        <w:pStyle w:val="Heading2"/>
      </w:pPr>
      <w:bookmarkStart w:id="23" w:name="introducing-a-novel-joint-aggregation-network-diffusion-model"/>
      <w:bookmarkEnd w:id="23"/>
      <w:r>
        <w:t xml:space="preserve">Introducing a novel joint Aggregation-Network-Diffusion model</w:t>
      </w:r>
    </w:p>
    <w:p>
      <w:pPr>
        <w:pStyle w:val="FirstParagraph"/>
      </w:pPr>
      <w:r>
        <w:t xml:space="preserve">In this paper we develop and empirically validate the mathematical machinery capable of encapsulating the entire gamut of neurodegenerative etiology and progression, using bottom-up biophysical modeling. We propose a parsimonious model of all three processes:</w:t>
      </w:r>
      <w:r>
        <w:t xml:space="preserve"> </w:t>
      </w:r>
      <m:oMath>
        <m:r>
          <m:t>τ</m:t>
        </m:r>
      </m:oMath>
      <w:r>
        <w:t xml:space="preserve"> </w:t>
      </w:r>
      <w:r>
        <w:t xml:space="preserve">monomer production; subsequent aggregation into oligomers and then into tangles; and the spatiotemporal progression of misfolded</w:t>
      </w:r>
      <w:r>
        <w:t xml:space="preserve"> </w:t>
      </w:r>
      <m:oMath>
        <m:r>
          <m:t>τ</m:t>
        </m:r>
      </m:oMath>
      <w:r>
        <w:t xml:space="preserve"> </w:t>
      </w:r>
      <w:r>
        <w:t xml:space="preserve">as it ramifies into neural circuits. We hypothesized that this model, which we call Aggregation-Network-Diffusion (AND) model, can explain many experimental findings in AD. The model incorporates the following key elements, based on experimental evidence:</w:t>
      </w:r>
    </w:p>
    <w:p>
      <w:pPr>
        <w:numPr>
          <w:numId w:val="1001"/>
          <w:ilvl w:val="0"/>
        </w:numPr>
      </w:pPr>
      <w:r>
        <w:t xml:space="preserve">Initial production of misfolded monomeric</w:t>
      </w:r>
      <w:r>
        <w:t xml:space="preserve"> </w:t>
      </w:r>
      <m:oMath>
        <m:r>
          <m:t>τ</m:t>
        </m:r>
      </m:oMath>
      <w:r>
        <w:t xml:space="preserve"> </w:t>
      </w:r>
      <w:r>
        <w:t xml:space="preserve">occurs at a specific site in the medial temporal cortex, especially the entorhinal cortex, based on histopathology findings from Braak (Braak and Braak 1991).</w:t>
      </w:r>
    </w:p>
    <w:p>
      <w:pPr>
        <w:numPr>
          <w:numId w:val="1001"/>
          <w:ilvl w:val="0"/>
        </w:numPr>
      </w:pPr>
      <w:r>
        <w:t xml:space="preserve">Monomeric</w:t>
      </w:r>
      <w:r>
        <w:t xml:space="preserve"> </w:t>
      </w:r>
      <m:oMath>
        <m:r>
          <m:t>τ</m:t>
        </m:r>
      </m:oMath>
      <w:r>
        <w:t xml:space="preserve"> </w:t>
      </w:r>
      <w:r>
        <w:t xml:space="preserve">progressively aggregates into dimers, oligomers, and finally into immobile fibrils, giving neurofibrillary tangles. Each oligomeric species has a different propensity to aggregate and to spread.</w:t>
      </w:r>
    </w:p>
    <w:p>
      <w:pPr>
        <w:numPr>
          <w:numId w:val="1001"/>
          <w:ilvl w:val="0"/>
        </w:numPr>
      </w:pPr>
      <w:r>
        <w:t xml:space="preserve">Subsequent spread of above protein species is modeled by a (potentially directional) transmission process whereby anatomic connections govern the rate at which two distant but connected brain regions might transfer pathologic entities. The pathological underpinnings of networked spread are given by</w:t>
      </w:r>
      <w:r>
        <w:t xml:space="preserve"> </w:t>
      </w:r>
      <w:r>
        <w:t xml:space="preserve">“</w:t>
      </w:r>
      <w:r>
        <w:t xml:space="preserve">prion-like</w:t>
      </w:r>
      <w:r>
        <w:t xml:space="preserve">”</w:t>
      </w:r>
      <w:r>
        <w:t xml:space="preserve"> </w:t>
      </w:r>
      <w:r>
        <w:t xml:space="preserve">trans-neuronal transmission, whereby proteins misfold, trigger misfolding of adjacent same-species proteins, and thereupon cascade along neuronal pathways (Clavaguera et al. 2009; Frost and Diamond 2010; Iba et al. 2015; Jucker and Walker 2013). Trans-neuronal transmission implies spread along axonal projections rather than spatially. Hence networked spread is a natural model, as substantiated by neuroimaging (Pievani et al. 2011; Raj, Kuceyeski, and Weiner 2012; Raj et al. 2015; Zhou et al. 2012).</w:t>
      </w:r>
    </w:p>
    <w:p>
      <w:pPr>
        <w:pStyle w:val="FirstParagraph"/>
      </w:pPr>
      <w:r>
        <w:t xml:space="preserve">Using these facts we formulated the AND model that is capable of predicting the spatiotemporal evolution of AD-associated</w:t>
      </w:r>
      <w:r>
        <w:t xml:space="preserve"> </w:t>
      </w:r>
      <m:oMath>
        <m:r>
          <m:t>τ</m:t>
        </m:r>
      </m:oMath>
      <w:r>
        <w:t xml:space="preserve"> </w:t>
      </w:r>
      <w:r>
        <w:t xml:space="preserve">in human brains, separately resolving the progression of all oligomeric species as they aggregate, spread and deposit in brain regions. Following the model studied in (Achdou et al. 2013), (Bertsch et al. 2017), (Franchi and Lorenzani 2016), (Franchi and Lorenzani 2017), we describe the aggregation of</w:t>
      </w:r>
      <w:r>
        <w:t xml:space="preserve"> </w:t>
      </w:r>
      <m:oMath>
        <m:r>
          <m:t>τ</m:t>
        </m:r>
      </m:oMath>
      <w:r>
        <w:t xml:space="preserve"> </w:t>
      </w:r>
      <w:r>
        <w:t xml:space="preserve">polymers by means of Smoluchowski equation (Smoluchowski 1917), a system of infinite discrete differential equations (without diffusion) for the study of rapid coagulation of aerosols. Smoluchowski’s theory was previously extended to cover polymerization, aggregation of colloidal particles, formation of stars and planets as well as biological populations and behavior of fuel mixtures in engines. Smoluchowski equation was successfully applied to the agglomeration of</w:t>
      </w:r>
      <w:r>
        <w:t xml:space="preserve"> </w:t>
      </w:r>
      <m:oMath>
        <m:r>
          <m:t>A</m:t>
        </m:r>
        <m:r>
          <m:t>β</m:t>
        </m:r>
      </m:oMath>
      <w:r>
        <w:t xml:space="preserve"> </w:t>
      </w:r>
      <w:r>
        <w:t xml:space="preserve">amyloid first in (Murphy and Pallitto 2000) and then in (Achdou et al. 2013). We combined Smoluchowski aggregation theory, applied here to</w:t>
      </w:r>
      <w:r>
        <w:t xml:space="preserve"> </w:t>
      </w:r>
      <m:oMath>
        <m:r>
          <m:t>τ</m:t>
        </m:r>
      </m:oMath>
      <w:r>
        <w:t xml:space="preserve"> </w:t>
      </w:r>
      <w:r>
        <w:t xml:space="preserve">oligomers, with a mathematical model of their trans-neuronal spread. For the latter purpose, we extended our previous Network-Diffusion model (Raj, Kuceyeski, and Weiner 2012; Raj et al. 2015), which was shown to recapitulate the classic spatial patterns of AD-related atrophy. This model approximates the trans-neuronal transmission of misfiled proteins as simple diffusive spread along axonal projections. Hence, the proposed AND model combines these elements into a complete model of</w:t>
      </w:r>
      <w:r>
        <w:t xml:space="preserve"> </w:t>
      </w:r>
      <m:oMath>
        <m:r>
          <m:t>τ</m:t>
        </m:r>
      </m:oMath>
      <w:r>
        <w:t xml:space="preserve"> </w:t>
      </w:r>
      <w:r>
        <w:t xml:space="preserve">progression in AD, starting from a healthy brain with no pathology.</w:t>
      </w:r>
    </w:p>
    <w:p>
      <w:pPr>
        <w:pStyle w:val="BodyText"/>
      </w:pPr>
      <w:r>
        <w:t xml:space="preserve">We hypothesized that this model will recapitulate not only the spatiotemporal evolution of</w:t>
      </w:r>
      <w:r>
        <w:t xml:space="preserve"> </w:t>
      </w:r>
      <m:oMath>
        <m:r>
          <m:t>τ</m:t>
        </m:r>
      </m:oMath>
      <w:r>
        <w:t xml:space="preserve">, but also predict the time course of the evolution of various oligomeric species. We implemented the AND model on brain</w:t>
      </w:r>
      <w:r>
        <w:t xml:space="preserve"> </w:t>
      </w:r>
      <w:r>
        <w:t xml:space="preserve">“</w:t>
      </w:r>
      <w:r>
        <w:t xml:space="preserve">connectomes</w:t>
      </w:r>
      <w:r>
        <w:t xml:space="preserve">”</w:t>
      </w:r>
      <w:r>
        <w:t xml:space="preserve"> </w:t>
      </w:r>
      <w:r>
        <w:t xml:space="preserve">or connectivity networks obtained from healthy subjects’ diffusion-weighted MRI, and validated it against empirical data from AD patients’ regional atrophy and tau-PET scans. We evaluated several formulations of how the kinetics of protein aggregation and network diffusion varies according to oligomer size, and showed that for each formulation, there exist parameter ranges within which the AND model recapitulated empirical spatio-temporal pattern of AD.</w:t>
      </w:r>
    </w:p>
    <w:p>
      <w:pPr>
        <w:pStyle w:val="BodyText"/>
      </w:pPr>
      <w:r>
        <w:t xml:space="preserve">To our knowledge, this is the first report of an empirically-validated complete biophysical model of both protein aggregation and trans-neuronal spread in Alzheimer’s disease. Such mathematical models can serve as critical test-beds for assessing etiologic and mechanistic hypotheses of neurodegeneration, and can be tested directly on</w:t>
      </w:r>
      <w:r>
        <w:t xml:space="preserve"> </w:t>
      </w:r>
      <w:r>
        <w:rPr>
          <w:i/>
        </w:rPr>
        <w:t xml:space="preserve">in vivo</w:t>
      </w:r>
      <w:r>
        <w:t xml:space="preserve"> </w:t>
      </w:r>
      <w:r>
        <w:t xml:space="preserve">neuroimaging data. Clinically, this approach might serve as a computational biomarkers of</w:t>
      </w:r>
      <w:r>
        <w:t xml:space="preserve"> </w:t>
      </w:r>
      <m:oMath>
        <m:r>
          <m:t>τ</m:t>
        </m:r>
      </m:oMath>
      <w:r>
        <w:t xml:space="preserve"> </w:t>
      </w:r>
      <w:r>
        <w:t xml:space="preserve">progression in patients.</w:t>
      </w:r>
    </w:p>
    <w:p>
      <w:pPr>
        <w:pStyle w:val="Heading1"/>
      </w:pPr>
      <w:bookmarkStart w:id="24" w:name="methods"/>
      <w:bookmarkEnd w:id="24"/>
      <w:r>
        <w:t xml:space="preserve">Methods</w:t>
      </w:r>
    </w:p>
    <w:p>
      <w:pPr>
        <w:pStyle w:val="Heading2"/>
      </w:pPr>
      <w:bookmarkStart w:id="25" w:name="proposed-aggregation-network-diffusion-and-model"/>
      <w:bookmarkEnd w:id="25"/>
      <w:r>
        <w:t xml:space="preserve">Proposed Aggregation-Network-Diffusion (AND) Model</w:t>
      </w:r>
    </w:p>
    <w:p>
      <w:pPr>
        <w:pStyle w:val="FirstParagraph"/>
      </w:pPr>
      <w:r>
        <w:t xml:space="preserve">The mathematical and network notation adopted in this paper and a brief review of Smoluchowski aggregation theory are contained in Supplementary Information. Here we combine network diffusion and Smoluchowski aggregation theory into a complete model of AD-associated</w:t>
      </w:r>
      <w:r>
        <w:t xml:space="preserve"> </w:t>
      </w:r>
      <m:oMath>
        <m:r>
          <m:t>τ</m:t>
        </m:r>
      </m:oMath>
      <w:r>
        <w:t xml:space="preserve"> </w:t>
      </w:r>
      <w:r>
        <w:t xml:space="preserve">pathogenesis and progression, starting from a completely healthy brain with no pathology to begin with. We propose to model jointly the network-wide ramification of</w:t>
      </w:r>
      <w:r>
        <w:t xml:space="preserve"> </w:t>
      </w:r>
      <m:oMath>
        <m:r>
          <m:t>τ</m:t>
        </m:r>
      </m:oMath>
      <w:r>
        <w:t xml:space="preserve">, whose production and network dissemination are two separate processes. Since we are interested in expanding the aggregation processes to include graph-based diffusion, we will replace the spatial diffusion term in the SI Eq. (???) with a graph diffusion process described below. Hence we will redefine the conventional Smoluchowski equations on vector-values quantities, such that each element of the vector contains oligomer concentration at a single brain region. We denote by</w:t>
      </w:r>
      <w:r>
        <w:t xml:space="preserve"> </w:t>
      </w:r>
      <m:oMath>
        <m:sSub>
          <m:e>
            <m:r>
              <m:t>τ</m:t>
            </m:r>
          </m:e>
          <m:sub>
            <m:r>
              <m:t>m</m:t>
            </m:r>
          </m:sub>
        </m:sSub>
        <m:r>
          <m:t>(</m:t>
        </m:r>
        <m:sSub>
          <m:e>
            <m:r>
              <m:rPr>
                <m:sty m:val="b"/>
              </m:rPr>
              <m:t>v</m:t>
            </m:r>
          </m:e>
          <m:sub>
            <m:r>
              <m:t>i</m:t>
            </m:r>
          </m:sub>
        </m:sSub>
        <m:r>
          <m:t>,</m:t>
        </m:r>
        <m:r>
          <m:t>t</m:t>
        </m:r>
        <m:r>
          <m:t>)</m:t>
        </m:r>
      </m:oMath>
      <w:r>
        <w:t xml:space="preserve"> </w:t>
      </w:r>
      <w:r>
        <w:t xml:space="preserve">the molar concentration of soluble</w:t>
      </w:r>
      <w:r>
        <w:t xml:space="preserve"> </w:t>
      </w:r>
      <m:oMath>
        <m:r>
          <m:t>τ</m:t>
        </m:r>
      </m:oMath>
      <w:r>
        <w:t xml:space="preserve"> </w:t>
      </w:r>
      <w:r>
        <w:t xml:space="preserve">polymers of length</w:t>
      </w:r>
      <w:r>
        <w:t xml:space="preserve"> </w:t>
      </w:r>
      <m:oMath>
        <m:r>
          <m:t>m</m:t>
        </m:r>
      </m:oMath>
      <w:r>
        <w:t xml:space="preserve"> </w:t>
      </w:r>
      <w:r>
        <w:t xml:space="preserve">at the</w:t>
      </w:r>
      <w:r>
        <w:t xml:space="preserve"> </w:t>
      </w:r>
      <m:oMath>
        <m:r>
          <m:t>i</m:t>
        </m:r>
      </m:oMath>
      <w:r>
        <w:t xml:space="preserve">-th vertex</w:t>
      </w:r>
      <w:r>
        <w:t xml:space="preserve"> </w:t>
      </w:r>
      <m:oMath>
        <m:sSub>
          <m:e>
            <m:r>
              <m:rPr>
                <m:sty m:val="b"/>
              </m:rPr>
              <m:t>v</m:t>
            </m:r>
          </m:e>
          <m:sub>
            <m:r>
              <m:t>i</m:t>
            </m:r>
          </m:sub>
        </m:sSub>
      </m:oMath>
      <w:r>
        <w:t xml:space="preserve"> </w:t>
      </w:r>
      <w:r>
        <w:t xml:space="preserve">(i.e. at the</w:t>
      </w:r>
      <w:r>
        <w:t xml:space="preserve"> </w:t>
      </w:r>
      <m:oMath>
        <m:r>
          <m:t>i</m:t>
        </m:r>
      </m:oMath>
      <w:r>
        <w:t xml:space="preserve">-th grey matter structure) at time</w:t>
      </w:r>
      <w:r>
        <w:t xml:space="preserve"> </w:t>
      </w:r>
      <m:oMath>
        <m:r>
          <m:t>t</m:t>
        </m:r>
      </m:oMath>
      <w:r>
        <w:t xml:space="preserve">, with</w:t>
      </w:r>
      <w:r>
        <w:t xml:space="preserve"> </w:t>
      </w:r>
      <m:oMath>
        <m:r>
          <m:t>1</m:t>
        </m:r>
        <m:r>
          <m:t>≤</m:t>
        </m:r>
        <m:r>
          <m:t>m</m:t>
        </m:r>
        <m:r>
          <m:t>&lt;</m:t>
        </m:r>
        <m:r>
          <m:t>M</m:t>
        </m:r>
      </m:oMath>
      <w:r>
        <w:t xml:space="preserve"> </w:t>
      </w:r>
      <w:r>
        <w:t xml:space="preserve">and</w:t>
      </w:r>
      <w:r>
        <w:t xml:space="preserve"> </w:t>
      </w:r>
      <m:oMath>
        <m:r>
          <m:t>i</m:t>
        </m:r>
        <m:r>
          <m:t>=</m:t>
        </m:r>
        <m:r>
          <m:t>1</m:t>
        </m:r>
        <m:r>
          <m:t>,</m:t>
        </m:r>
        <m:r>
          <m:t>…</m:t>
        </m:r>
        <m:r>
          <m:t>,</m:t>
        </m:r>
        <m:r>
          <m:t>h</m:t>
        </m:r>
      </m:oMath>
      <w:r>
        <w:t xml:space="preserve">. The concentration of clusters of oligomers of length</w:t>
      </w:r>
      <w:r>
        <w:t xml:space="preserve"> </w:t>
      </w:r>
      <m:oMath>
        <m:r>
          <m:t>≥</m:t>
        </m:r>
        <m:r>
          <m:t>M</m:t>
        </m:r>
      </m:oMath>
      <w:r>
        <w:t xml:space="preserve"> </w:t>
      </w:r>
      <w:r>
        <w:t xml:space="preserve">(fibrils) is denoted by</w:t>
      </w:r>
      <w:r>
        <w:t xml:space="preserve"> </w:t>
      </w:r>
      <m:oMath>
        <m:sSub>
          <m:e>
            <m:r>
              <m:t>τ</m:t>
            </m:r>
          </m:e>
          <m:sub>
            <m:r>
              <m:t>M</m:t>
            </m:r>
          </m:sub>
        </m:sSub>
        <m:r>
          <m:t>(</m:t>
        </m:r>
        <m:sSub>
          <m:e>
            <m:r>
              <m:rPr>
                <m:sty m:val="b"/>
              </m:rPr>
              <m:t>v</m:t>
            </m:r>
          </m:e>
          <m:sub>
            <m:r>
              <m:t>i</m:t>
            </m:r>
          </m:sub>
        </m:sSub>
        <m:r>
          <m:t>,</m:t>
        </m:r>
        <m:r>
          <m:t>t</m:t>
        </m:r>
        <m:r>
          <m:t>)</m:t>
        </m:r>
      </m:oMath>
      <w:r>
        <w:t xml:space="preserve"> </w:t>
      </w:r>
      <w:r>
        <w:t xml:space="preserve">and may be thought as tangles, clinically observable through T807-PET (Xia et al. 2013) or AV1451-PET (Hanna et al. 2016) or MRI-derived regional atrophy (Vemuri et al. 2008; Whitwell et al. 2008). As above, wherever possible, we will represent vector-valued quantities in</w:t>
      </w:r>
      <w:r>
        <w:t xml:space="preserve"> </w:t>
      </w:r>
      <w:r>
        <w:rPr>
          <w:b/>
        </w:rPr>
        <w:t xml:space="preserve">boldface</w:t>
      </w:r>
      <w:r>
        <w:t xml:space="preserve">. We will also cap the infinite series above to a realistic scenario whereby once aggregates reach a certain size they become tangles and exit reaction kinetics. Finally, we will lump nearby aggregate sizes into a smaller number of</w:t>
      </w:r>
      <w:r>
        <w:t xml:space="preserve"> </w:t>
      </w:r>
      <w:r>
        <w:t xml:space="preserve">“</w:t>
      </w:r>
      <w:r>
        <w:t xml:space="preserve">bins</w:t>
      </w:r>
      <w:r>
        <w:t xml:space="preserve">”</w:t>
      </w:r>
      <w:r>
        <w:t xml:space="preserve"> </w:t>
      </w:r>
      <w:r>
        <w:t xml:space="preserve">in order to reduce the equations to a manageable number. These choices are described in detail in the next section.</w:t>
      </w:r>
    </w:p>
    <w:p>
      <w:pPr>
        <w:pStyle w:val="BodyText"/>
      </w:pPr>
      <w:r>
        <w:t xml:space="preserve">The proposed model has the following components:</w:t>
      </w:r>
    </w:p>
    <w:p>
      <w:pPr>
        <w:numPr>
          <w:numId w:val="1002"/>
          <w:ilvl w:val="0"/>
        </w:numPr>
      </w:pPr>
      <w:r>
        <w:t xml:space="preserve">Initial intra-cellular phosphorylation of</w:t>
      </w:r>
      <w:r>
        <w:t xml:space="preserve"> </w:t>
      </w:r>
      <m:oMath>
        <m:r>
          <m:t>τ</m:t>
        </m:r>
      </m:oMath>
      <w:r>
        <w:t xml:space="preserve"> </w:t>
      </w:r>
      <w:r>
        <w:t xml:space="preserve">produce monomeric misfolded</w:t>
      </w:r>
      <w:r>
        <w:t xml:space="preserve"> </w:t>
      </w:r>
      <m:oMath>
        <m:r>
          <m:t>τ</m:t>
        </m:r>
      </m:oMath>
      <w:r>
        <w:t xml:space="preserve">, mislocating from its native axonal compartment to pathologic somatodendritic intra-cellular compartment. In this paper the sites of monomeric</w:t>
      </w:r>
      <w:r>
        <w:t xml:space="preserve"> </w:t>
      </w:r>
      <m:oMath>
        <m:r>
          <m:t>τ</m:t>
        </m:r>
      </m:oMath>
      <w:r>
        <w:t xml:space="preserve"> </w:t>
      </w:r>
      <w:r>
        <w:t xml:space="preserve">production are predetermined, based on extensive bench studies, to be located at the entorhinal cortex.</w:t>
      </w:r>
    </w:p>
    <w:p>
      <w:pPr>
        <w:numPr>
          <w:numId w:val="1002"/>
          <w:ilvl w:val="0"/>
        </w:numPr>
      </w:pPr>
      <w:r>
        <w:t xml:space="preserve">Misfolded</w:t>
      </w:r>
      <w:r>
        <w:t xml:space="preserve"> </w:t>
      </w:r>
      <m:oMath>
        <m:r>
          <m:t>τ</m:t>
        </m:r>
      </m:oMath>
      <w:r>
        <w:t xml:space="preserve"> </w:t>
      </w:r>
      <w:r>
        <w:t xml:space="preserve">monomers undergo</w:t>
      </w:r>
      <w:r>
        <w:t xml:space="preserve"> </w:t>
      </w:r>
      <w:r>
        <w:rPr>
          <w:i/>
        </w:rPr>
        <w:t xml:space="preserve">in situ</w:t>
      </w:r>
      <w:r>
        <w:t xml:space="preserve"> </w:t>
      </w:r>
      <w:r>
        <w:t xml:space="preserve">agglomeration into small oligomers and progressively into tangles, which are assumed to be immobile and non-participants in the ongoing aggregation processes.</w:t>
      </w:r>
    </w:p>
    <w:p>
      <w:pPr>
        <w:numPr>
          <w:numId w:val="1002"/>
          <w:ilvl w:val="0"/>
        </w:numPr>
      </w:pPr>
      <w:r>
        <w:t xml:space="preserve">These production and aggregation processes are followed by Network-wide transmission of the misfolded oligomeric</w:t>
      </w:r>
      <w:r>
        <w:t xml:space="preserve"> </w:t>
      </w:r>
      <m:oMath>
        <m:r>
          <m:t>τ</m:t>
        </m:r>
      </m:oMath>
      <w:r>
        <w:t xml:space="preserve"> </w:t>
      </w:r>
      <w:r>
        <w:t xml:space="preserve">proteins as they ramify through the neural pathways via trans-neuronal transmission (Clavaguera et al. 2009; Frost and Diamond 2010; Iba et al. 2015; Jucker and Walker 2013). The spread process is modeled here via the Network Diffusion Model (Raj, Kuceyeski, and Weiner 2012; Raj et al. 2015). Diffusivity of each oligomer species is allowed to be different, controlled by the diffusivity constants</w:t>
      </w:r>
      <w:r>
        <w:t xml:space="preserve"> </w:t>
      </w:r>
      <m:oMath>
        <m:sSub>
          <m:e>
            <m:r>
              <m:t>d</m:t>
            </m:r>
          </m:e>
          <m:sub>
            <m:r>
              <m:t>m</m:t>
            </m:r>
          </m:sub>
        </m:sSub>
      </m:oMath>
      <w:r>
        <w:t xml:space="preserve"> </w:t>
      </w:r>
      <w:r>
        <w:t xml:space="preserve">for the</w:t>
      </w:r>
      <w:r>
        <w:t xml:space="preserve"> </w:t>
      </w:r>
      <m:oMath>
        <m:r>
          <m:t>m</m:t>
        </m:r>
      </m:oMath>
      <w:r>
        <w:t xml:space="preserve">-th oligomer.</w:t>
      </w:r>
    </w:p>
    <w:p>
      <w:pPr>
        <w:pStyle w:val="FirstParagraph"/>
      </w:pPr>
      <w:r>
        <w:t xml:space="preserve">Let us see how the components (a) – (c) reflect in our mathematical model. We denote by</w:t>
      </w:r>
      <w:r>
        <w:t xml:space="preserve"> </w:t>
      </w:r>
      <m:oMath>
        <m:r>
          <m:t>Γ</m:t>
        </m:r>
      </m:oMath>
      <w:r>
        <w:t xml:space="preserve"> </w:t>
      </w:r>
      <w:r>
        <w:t xml:space="preserve">the</w:t>
      </w:r>
      <w:r>
        <w:t xml:space="preserve"> </w:t>
      </w:r>
      <w:r>
        <w:t xml:space="preserve">weighted graph introduced in Section ??? to represent the human brain,</w:t>
      </w:r>
      <w:r>
        <w:t xml:space="preserve"> </w:t>
      </w:r>
      <w:r>
        <w:t xml:space="preserve">and by</w:t>
      </w:r>
      <w:r>
        <w:t xml:space="preserve"> </w:t>
      </w:r>
      <m:oMath>
        <m:sSub>
          <m:e>
            <m:r>
              <m:t>Δ</m:t>
            </m:r>
          </m:e>
          <m:sub>
            <m:r>
              <m:t>Γ</m:t>
            </m:r>
          </m:sub>
        </m:sSub>
      </m:oMath>
      <w:r>
        <w:t xml:space="preserve"> </w:t>
      </w:r>
      <w:r>
        <w:t xml:space="preserve">its Laplacian, as defined above.</w:t>
      </w:r>
    </w:p>
    <w:p>
      <w:pPr>
        <w:numPr>
          <w:numId w:val="1003"/>
          <w:ilvl w:val="0"/>
        </w:numPr>
      </w:pPr>
      <w:r>
        <w:t xml:space="preserve">We denote by</w:t>
      </w:r>
      <w:r>
        <w:t xml:space="preserve"> </w:t>
      </w:r>
      <m:oMath>
        <m:sSub>
          <m:e>
            <m:r>
              <m:t>τ</m:t>
            </m:r>
          </m:e>
          <m:sub>
            <m:r>
              <m:t>m</m:t>
            </m:r>
          </m:sub>
        </m:sSub>
        <m:r>
          <m:t>(</m:t>
        </m:r>
        <m:r>
          <m:t>⋅</m:t>
        </m:r>
        <m:r>
          <m:t>,</m:t>
        </m:r>
        <m:r>
          <m:t>t</m:t>
        </m:r>
        <m:r>
          <m:t>)</m:t>
        </m:r>
        <m:r>
          <m:t>:</m:t>
        </m:r>
        <m:r>
          <m:t>V</m:t>
        </m:r>
        <m:r>
          <m:t>(</m:t>
        </m:r>
        <m:r>
          <m:t>Γ</m:t>
        </m:r>
        <m:r>
          <m:t>)</m:t>
        </m:r>
        <m:r>
          <m:t>→</m:t>
        </m:r>
        <m:r>
          <m:t>[</m:t>
        </m:r>
        <m:r>
          <m:t>0</m:t>
        </m:r>
        <m:r>
          <m:t>,</m:t>
        </m:r>
        <m:r>
          <m:t>∞</m:t>
        </m:r>
        <m:r>
          <m:t>)</m:t>
        </m:r>
      </m:oMath>
      <w:r>
        <w:t xml:space="preserve"> </w:t>
      </w:r>
      <w:r>
        <w:t xml:space="preserve">the molar concentration of phosphorylated</w:t>
      </w:r>
      <w:r>
        <w:t xml:space="preserve"> </w:t>
      </w:r>
      <m:oMath>
        <m:r>
          <m:t>τ</m:t>
        </m:r>
      </m:oMath>
      <w:r>
        <w:t xml:space="preserve">-oligomers of</w:t>
      </w:r>
      <w:r>
        <w:t xml:space="preserve"> </w:t>
      </w:r>
      <w:r>
        <w:t xml:space="preserve">length</w:t>
      </w:r>
      <w:r>
        <w:t xml:space="preserve"> </w:t>
      </w:r>
      <m:oMath>
        <m:r>
          <m:t>m</m:t>
        </m:r>
        <m:r>
          <m:t>=</m:t>
        </m:r>
        <m:r>
          <m:t>1</m:t>
        </m:r>
        <m:r>
          <m:t>,</m:t>
        </m:r>
        <m:r>
          <m:t>…</m:t>
        </m:r>
        <m:r>
          <m:t>,</m:t>
        </m:r>
        <m:r>
          <m:t>M</m:t>
        </m:r>
        <m:r>
          <m:t>−</m:t>
        </m:r>
        <m:r>
          <m:t>1</m:t>
        </m:r>
      </m:oMath>
      <w:r>
        <w:t xml:space="preserve"> </w:t>
      </w:r>
      <w:r>
        <w:t xml:space="preserve">at the time</w:t>
      </w:r>
      <w:r>
        <w:t xml:space="preserve"> </w:t>
      </w:r>
      <m:oMath>
        <m:r>
          <m:t>t</m:t>
        </m:r>
        <m:r>
          <m:t>≥</m:t>
        </m:r>
        <m:r>
          <m:t>0</m:t>
        </m:r>
      </m:oMath>
      <w:r>
        <w:t xml:space="preserve">. In addition,</w:t>
      </w:r>
      <w:r>
        <w:t xml:space="preserve"> </w:t>
      </w:r>
      <m:oMath>
        <m:sSub>
          <m:e>
            <m:r>
              <m:t>τ</m:t>
            </m:r>
          </m:e>
          <m:sub>
            <m:r>
              <m:t>M</m:t>
            </m:r>
          </m:sub>
        </m:sSub>
        <m:r>
          <m:t>(</m:t>
        </m:r>
        <m:r>
          <m:t>⋅</m:t>
        </m:r>
        <m:r>
          <m:t>,</m:t>
        </m:r>
        <m:r>
          <m:t>t</m:t>
        </m:r>
        <m:r>
          <m:t>)</m:t>
        </m:r>
        <m:r>
          <m:t>:</m:t>
        </m:r>
        <m:r>
          <m:t>V</m:t>
        </m:r>
        <m:r>
          <m:t>(</m:t>
        </m:r>
        <m:r>
          <m:t>Γ</m:t>
        </m:r>
        <m:r>
          <m:t>)</m:t>
        </m:r>
        <m:r>
          <m:t>→</m:t>
        </m:r>
        <m:r>
          <m:t>[</m:t>
        </m:r>
        <m:r>
          <m:t>0</m:t>
        </m:r>
        <m:r>
          <m:t>,</m:t>
        </m:r>
        <m:r>
          <m:t>∞</m:t>
        </m:r>
        <m:r>
          <m:t>)</m:t>
        </m:r>
      </m:oMath>
      <w:r>
        <w:t xml:space="preserve"> </w:t>
      </w:r>
      <w:r>
        <w:t xml:space="preserve">will design the concentration of</w:t>
      </w:r>
      <w:r>
        <w:t xml:space="preserve"> </w:t>
      </w:r>
      <m:oMath>
        <m:r>
          <m:t>τ</m:t>
        </m:r>
      </m:oMath>
      <w:r>
        <w:t xml:space="preserve">-tangles.</w:t>
      </w:r>
    </w:p>
    <w:p>
      <w:pPr>
        <w:numPr>
          <w:numId w:val="1000"/>
          <w:ilvl w:val="0"/>
        </w:numPr>
      </w:pPr>
      <w:r>
        <w:t xml:space="preserve">The production of monomeric</w:t>
      </w:r>
      <w:r>
        <w:t xml:space="preserve"> </w:t>
      </w:r>
      <m:oMath>
        <m:r>
          <m:t>τ</m:t>
        </m:r>
      </m:oMath>
      <w:r>
        <w:t xml:space="preserve"> </w:t>
      </w:r>
      <w:r>
        <w:t xml:space="preserve">will be represented by the source term</w:t>
      </w:r>
      <w:r>
        <w:t xml:space="preserve"> </w:t>
      </w:r>
      <m:oMath>
        <m:sSub>
          <m:e>
            <m:r>
              <m:t>f</m:t>
            </m:r>
          </m:e>
          <m:sub>
            <m:r>
              <m:t>τ</m:t>
            </m:r>
          </m:sub>
        </m:sSub>
      </m:oMath>
      <w:r>
        <w:t xml:space="preserve">, with</w:t>
      </w:r>
    </w:p>
    <w:p>
      <w:pPr>
        <w:pStyle w:val="BodyText"/>
      </w:pPr>
      <m:oMathPara>
        <m:oMathParaPr>
          <m:jc m:val="center"/>
        </m:oMathParaPr>
        <m:oMath>
          <m:sSub>
            <m:e>
              <m:r>
                <m:t>f</m:t>
              </m:r>
            </m:e>
            <m:sub>
              <m:r>
                <m:t>τ</m:t>
              </m:r>
            </m:sub>
          </m:sSub>
          <m:r>
            <m:t>(</m:t>
          </m:r>
          <m:r>
            <m:t>⋅</m:t>
          </m:r>
          <m:r>
            <m:t>,</m:t>
          </m:r>
          <m:r>
            <m:t>t</m:t>
          </m:r>
          <m:r>
            <m:t>)</m:t>
          </m:r>
          <m:r>
            <m:t>:</m:t>
          </m:r>
          <m:r>
            <m:t>V</m:t>
          </m:r>
          <m:r>
            <m:t>(</m:t>
          </m:r>
          <m:r>
            <m:t>Γ</m:t>
          </m:r>
          <m:r>
            <m:t>)</m:t>
          </m:r>
          <m:r>
            <m:t>→</m:t>
          </m:r>
          <m:r>
            <m:t>[</m:t>
          </m:r>
          <m:r>
            <m:t>0</m:t>
          </m:r>
          <m:r>
            <m:t>,</m:t>
          </m:r>
          <m:r>
            <m:t>∞</m:t>
          </m:r>
          <m:r>
            <m:t>)</m:t>
          </m:r>
        </m:oMath>
      </m:oMathPara>
    </w:p>
    <w:p>
      <w:pPr>
        <w:numPr>
          <w:numId w:val="1000"/>
          <w:ilvl w:val="0"/>
        </w:numPr>
      </w:pPr>
      <w:r>
        <w:t xml:space="preserve">for</w:t>
      </w:r>
      <w:r>
        <w:t xml:space="preserve"> </w:t>
      </w:r>
      <m:oMath>
        <m:r>
          <m:t>t</m:t>
        </m:r>
        <m:r>
          <m:t>≥</m:t>
        </m:r>
        <m:r>
          <m:t>0</m:t>
        </m:r>
      </m:oMath>
      <w:r>
        <w:t xml:space="preserve">, where</w:t>
      </w:r>
      <w:r>
        <w:t xml:space="preserve"> </w:t>
      </w:r>
      <m:oMath>
        <m:sSub>
          <m:e>
            <m:r>
              <m:t>f</m:t>
            </m:r>
          </m:e>
          <m:sub>
            <m:r>
              <m:t>τ</m:t>
            </m:r>
          </m:sub>
        </m:sSub>
        <m:r>
          <m:t>(</m:t>
        </m:r>
        <m:sSub>
          <m:e>
            <m:r>
              <m:rPr>
                <m:sty m:val="b"/>
              </m:rPr>
              <m:t>v</m:t>
            </m:r>
          </m:e>
          <m:sub>
            <m:r>
              <m:t>j</m:t>
            </m:r>
          </m:sub>
        </m:sSub>
        <m:r>
          <m:t>,</m:t>
        </m:r>
        <m:r>
          <m:t>⋅</m:t>
        </m:r>
        <m:r>
          <m:t>)</m:t>
        </m:r>
      </m:oMath>
      <w:r>
        <w:t xml:space="preserve"> </w:t>
      </w:r>
      <w:r>
        <w:t xml:space="preserve">is a continuous function for all</w:t>
      </w:r>
      <w:r>
        <w:t xml:space="preserve"> </w:t>
      </w:r>
      <m:oMath>
        <m:r>
          <m:t>j</m:t>
        </m:r>
        <m:r>
          <m:t>=</m:t>
        </m:r>
        <m:r>
          <m:t>1</m:t>
        </m:r>
        <m:r>
          <m:t>,</m:t>
        </m:r>
        <m:r>
          <m:t>…</m:t>
        </m:r>
        <m:r>
          <m:t>,</m:t>
        </m:r>
        <m:r>
          <m:t>h</m:t>
        </m:r>
      </m:oMath>
      <w:r>
        <w:t xml:space="preserve">. In this study we chose the production term to be a Gamma-shaped function</w:t>
      </w:r>
      <w:r>
        <w:t xml:space="preserve"> </w:t>
      </w:r>
      <m:oMath>
        <m:sSub>
          <m:e>
            <m:r>
              <m:t>f</m:t>
            </m:r>
          </m:e>
          <m:sub>
            <m:r>
              <m:t>τ</m:t>
            </m:r>
          </m:sub>
        </m:sSub>
        <m:r>
          <m:t>(</m:t>
        </m:r>
        <m:r>
          <m:t>⋅</m:t>
        </m:r>
        <m:r>
          <m:t>,</m:t>
        </m:r>
        <m:r>
          <m:t>t</m:t>
        </m:r>
        <m:r>
          <m:t>)</m:t>
        </m:r>
        <m:r>
          <m:t>=</m:t>
        </m:r>
        <m:f>
          <m:fPr>
            <m:type m:val="bar"/>
          </m:fPr>
          <m:num>
            <m:r>
              <m:t>t</m:t>
            </m:r>
          </m:num>
          <m:den>
            <m:sSub>
              <m:e>
                <m:r>
                  <m:t>σ</m:t>
                </m:r>
              </m:e>
              <m:sub>
                <m:r>
                  <m:t>f</m:t>
                </m:r>
              </m:sub>
            </m:sSub>
          </m:den>
        </m:f>
        <m:r>
          <m:rPr>
            <m:sty m:val="p"/>
          </m:rPr>
          <m:t>exp</m:t>
        </m:r>
        <m:d>
          <m:dPr>
            <m:begChr m:val="("/>
            <m:endChr m:val=")"/>
            <m:grow/>
          </m:dPr>
          <m:e>
            <m:r>
              <m:t>−</m:t>
            </m:r>
            <m:f>
              <m:fPr>
                <m:type m:val="bar"/>
              </m:fPr>
              <m:num>
                <m:r>
                  <m:t>t</m:t>
                </m:r>
              </m:num>
              <m:den>
                <m:sSub>
                  <m:e>
                    <m:r>
                      <m:t>σ</m:t>
                    </m:r>
                  </m:e>
                  <m:sub>
                    <m:r>
                      <m:t>f</m:t>
                    </m:r>
                  </m:sub>
                </m:sSub>
              </m:den>
            </m:f>
          </m:e>
        </m:d>
      </m:oMath>
      <w:r>
        <w:t xml:space="preserve">, and chose</w:t>
      </w:r>
      <w:r>
        <w:t xml:space="preserve"> </w:t>
      </w:r>
      <m:oMath>
        <m:sSub>
          <m:e>
            <m:r>
              <m:t>σ</m:t>
            </m:r>
          </m:e>
          <m:sub>
            <m:r>
              <m:t>f</m:t>
            </m:r>
          </m:sub>
        </m:sSub>
        <m:r>
          <m:t>=</m:t>
        </m:r>
        <m:r>
          <m:t>15</m:t>
        </m:r>
      </m:oMath>
      <w:r>
        <w:t xml:space="preserve"> </w:t>
      </w:r>
      <w:r>
        <w:t xml:space="preserve">to approximate a 15-year monomer production process - an arbitrary but realistic choice based on the expected time course of AD progression.</w:t>
      </w:r>
    </w:p>
    <w:p>
      <w:pPr>
        <w:numPr>
          <w:numId w:val="1003"/>
          <w:ilvl w:val="0"/>
        </w:numPr>
      </w:pPr>
      <w:r>
        <w:t xml:space="preserve">Diffusion and agglomeration of oligomers through neural pathways is describe by a</w:t>
      </w:r>
      <w:r>
        <w:t xml:space="preserve"> </w:t>
      </w:r>
      <w:r>
        <w:t xml:space="preserve">Smoluchowski system with diffusion in</w:t>
      </w:r>
      <w:r>
        <w:t xml:space="preserve"> </w:t>
      </w:r>
      <m:oMath>
        <m:r>
          <m:t>Γ</m:t>
        </m:r>
      </m:oMath>
      <w:r>
        <w:t xml:space="preserve">. For the sake of universality and parsimony, we assume that throughout the brain the protein species aggregate and ramify along neural pathways in the same way and at the same rate. However, it is well known that rates of trans-membrane diffusion, axonal transport and aggregation are all dependent on protein species and oligomer length. Hence we impose a simple scaling behavior on these processes such that the aggregation is controlled by the joint aggregation constants</w:t>
      </w:r>
      <w:r>
        <w:t xml:space="preserve"> </w:t>
      </w:r>
      <m:oMath>
        <m:sSub>
          <m:e>
            <m:r>
              <m:t>a</m:t>
            </m:r>
          </m:e>
          <m:sub>
            <m:r>
              <m:t>m</m:t>
            </m:r>
            <m:r>
              <m:t>j</m:t>
            </m:r>
          </m:sub>
        </m:sSub>
      </m:oMath>
      <w:r>
        <w:t xml:space="preserve"> </w:t>
      </w:r>
      <w:r>
        <w:t xml:space="preserve">for oligomers of size</w:t>
      </w:r>
      <w:r>
        <w:t xml:space="preserve"> </w:t>
      </w:r>
      <m:oMath>
        <m:r>
          <m:t>m</m:t>
        </m:r>
      </m:oMath>
      <w:r>
        <w:t xml:space="preserve"> </w:t>
      </w:r>
      <w:r>
        <w:t xml:space="preserve">and</w:t>
      </w:r>
      <w:r>
        <w:t xml:space="preserve"> </w:t>
      </w:r>
      <m:oMath>
        <m:r>
          <m:t>j</m:t>
        </m:r>
      </m:oMath>
      <w:r>
        <w:t xml:space="preserve"> </w:t>
      </w:r>
      <w:r>
        <w:t xml:space="preserve">aggregating to form a oligomer of size</w:t>
      </w:r>
      <w:r>
        <w:t xml:space="preserve"> </w:t>
      </w:r>
      <m:oMath>
        <m:r>
          <m:t>m</m:t>
        </m:r>
        <m:r>
          <m:t>+</m:t>
        </m:r>
        <m:r>
          <m:t>j</m:t>
        </m:r>
      </m:oMath>
      <w:r>
        <w:t xml:space="preserve">. Here, we used two plausible expressions for</w:t>
      </w:r>
      <w:r>
        <w:t xml:space="preserve"> </w:t>
      </w:r>
      <m:oMath>
        <m:sSub>
          <m:e>
            <m:r>
              <m:t>a</m:t>
            </m:r>
          </m:e>
          <m:sub>
            <m:r>
              <m:t>m</m:t>
            </m:r>
            <m:r>
              <m:t>j</m:t>
            </m:r>
          </m:sub>
        </m:sSub>
      </m:oMath>
      <w:r>
        <w:t xml:space="preserve">: (1) based on thermodynamic arguments,</w:t>
      </w:r>
    </w:p>
    <w:p>
      <w:pPr>
        <w:pStyle w:val="BodyText"/>
      </w:pPr>
      <m:oMathPara>
        <m:oMathParaPr>
          <m:jc m:val="center"/>
        </m:oMathParaPr>
        <m:oMath>
          <m:sSub>
            <m:e>
              <m:r>
                <m:t>a</m:t>
              </m:r>
            </m:e>
            <m:sub>
              <m:r>
                <m:t>m</m:t>
              </m:r>
              <m:r>
                <m:t>j</m:t>
              </m:r>
            </m:sub>
          </m:sSub>
          <m:r>
            <m:t>=</m:t>
          </m:r>
          <m:f>
            <m:fPr>
              <m:type m:val="bar"/>
            </m:fPr>
            <m:num>
              <m:sSubSup>
                <m:e>
                  <m:r>
                    <m:t>σ</m:t>
                  </m:r>
                </m:e>
                <m:sub>
                  <m:r>
                    <m:t>a</m:t>
                  </m:r>
                  <m:r>
                    <m:t>g</m:t>
                  </m:r>
                  <m:r>
                    <m:t>g</m:t>
                  </m:r>
                </m:sub>
                <m:sup>
                  <m:r>
                    <m:t>2</m:t>
                  </m:r>
                </m:sup>
              </m:sSubSup>
            </m:num>
            <m:den>
              <m:r>
                <m:t>m</m:t>
              </m:r>
              <m:r>
                <m:t>j</m:t>
              </m:r>
            </m:den>
          </m:f>
        </m:oMath>
      </m:oMathPara>
    </w:p>
    <w:p>
      <w:pPr>
        <w:numPr>
          <w:numId w:val="1003"/>
          <w:ilvl w:val="0"/>
        </w:numPr>
      </w:pPr>
      <w:r>
        <w:t xml:space="preserve">and (2) based on empirical in vitro fitting data on amyloids, a Gamma-shaped expression (Gillam and MacPhee 2013)</w:t>
      </w:r>
    </w:p>
    <w:p>
      <w:pPr>
        <w:pStyle w:val="BodyText"/>
      </w:pPr>
      <m:oMathPara>
        <m:oMathParaPr>
          <m:jc m:val="center"/>
        </m:oMathParaPr>
        <m:oMath>
          <m:sSub>
            <m:e>
              <m:r>
                <m:t>a</m:t>
              </m:r>
            </m:e>
            <m:sub>
              <m:r>
                <m:t>m</m:t>
              </m:r>
              <m:r>
                <m:t>j</m:t>
              </m:r>
            </m:sub>
          </m:sSub>
          <m:r>
            <m:t>=</m:t>
          </m:r>
          <m:f>
            <m:fPr>
              <m:type m:val="bar"/>
            </m:fPr>
            <m:num>
              <m:r>
                <m:t>m</m:t>
              </m:r>
              <m:r>
                <m:t>j</m:t>
              </m:r>
            </m:num>
            <m:den>
              <m:sSubSup>
                <m:e>
                  <m:r>
                    <m:t>σ</m:t>
                  </m:r>
                </m:e>
                <m:sub>
                  <m:r>
                    <m:t>a</m:t>
                  </m:r>
                  <m:r>
                    <m:t>g</m:t>
                  </m:r>
                  <m:r>
                    <m:t>g</m:t>
                  </m:r>
                </m:sub>
                <m:sup>
                  <m:r>
                    <m:t>2</m:t>
                  </m:r>
                </m:sup>
              </m:sSubSup>
            </m:den>
          </m:f>
          <m:r>
            <m:rPr>
              <m:sty m:val="p"/>
            </m:rPr>
            <m:t>exp</m:t>
          </m:r>
          <m:d>
            <m:dPr>
              <m:begChr m:val="("/>
              <m:endChr m:val=")"/>
              <m:grow/>
            </m:dPr>
            <m:e>
              <m:r>
                <m:t>−</m:t>
              </m:r>
              <m:f>
                <m:fPr>
                  <m:type m:val="bar"/>
                </m:fPr>
                <m:num>
                  <m:r>
                    <m:t>m</m:t>
                  </m:r>
                  <m:r>
                    <m:t>j</m:t>
                  </m:r>
                </m:num>
                <m:den>
                  <m:sSubSup>
                    <m:e>
                      <m:r>
                        <m:t>σ</m:t>
                      </m:r>
                    </m:e>
                    <m:sub>
                      <m:r>
                        <m:t>a</m:t>
                      </m:r>
                      <m:r>
                        <m:t>g</m:t>
                      </m:r>
                      <m:r>
                        <m:t>g</m:t>
                      </m:r>
                    </m:sub>
                    <m:sup>
                      <m:r>
                        <m:t>2</m:t>
                      </m:r>
                    </m:sup>
                  </m:sSubSup>
                </m:den>
              </m:f>
            </m:e>
          </m:d>
          <m:r>
            <m:t>,</m:t>
          </m:r>
        </m:oMath>
      </m:oMathPara>
    </w:p>
    <w:p>
      <w:pPr>
        <w:numPr>
          <w:numId w:val="1003"/>
          <w:ilvl w:val="0"/>
        </w:numPr>
      </w:pPr>
      <w:r>
        <w:t xml:space="preserve">where the</w:t>
      </w:r>
      <w:r>
        <w:t xml:space="preserve"> </w:t>
      </w:r>
      <m:oMath>
        <m:sSub>
          <m:e>
            <m:r>
              <m:t>σ</m:t>
            </m:r>
          </m:e>
          <m:sub>
            <m:r>
              <m:t>a</m:t>
            </m:r>
            <m:r>
              <m:t>g</m:t>
            </m:r>
            <m:r>
              <m:t>g</m:t>
            </m:r>
          </m:sub>
        </m:sSub>
      </m:oMath>
      <w:r>
        <w:t xml:space="preserve"> </w:t>
      </w:r>
      <w:r>
        <w:t xml:space="preserve">is a positive constant that controls the scale of the Gamma function for aggregation. Assumption (c) above (tangles are non-participants in the ongoing</w:t>
      </w:r>
      <w:r>
        <w:t xml:space="preserve"> </w:t>
      </w:r>
      <w:r>
        <w:t xml:space="preserve">aggregation processes) reads as</w:t>
      </w:r>
      <w:r>
        <w:t xml:space="preserve"> </w:t>
      </w:r>
      <m:oMath>
        <m:sSub>
          <m:e>
            <m:r>
              <m:t>a</m:t>
            </m:r>
          </m:e>
          <m:sub>
            <m:r>
              <m:t>m</m:t>
            </m:r>
            <m:r>
              <m:t>,</m:t>
            </m:r>
            <m:r>
              <m:t>M</m:t>
            </m:r>
          </m:sub>
        </m:sSub>
        <m:r>
          <m:t>=</m:t>
        </m:r>
        <m:r>
          <m:t>0</m:t>
        </m:r>
        <m:r>
          <m:t>∀</m:t>
        </m:r>
        <m:r>
          <m:t>m</m:t>
        </m:r>
      </m:oMath>
      <w:r>
        <w:t xml:space="preserve">.</w:t>
      </w:r>
      <w:r>
        <w:t xml:space="preserve"> </w:t>
      </w:r>
      <w:r>
        <w:t xml:space="preserve">Based on similar arguments, we define a scaling behavior of the diffusivity rates as:</w:t>
      </w:r>
    </w:p>
    <w:p>
      <w:pPr>
        <w:pStyle w:val="BodyText"/>
      </w:pPr>
      <m:oMathPara>
        <m:oMathParaPr>
          <m:jc m:val="center"/>
        </m:oMathParaPr>
        <m:oMath>
          <m:sSub>
            <m:e>
              <m:r>
                <m:t>d</m:t>
              </m:r>
            </m:e>
            <m:sub>
              <m:r>
                <m:t>m</m:t>
              </m:r>
            </m:sub>
          </m:sSub>
          <m:r>
            <m:t>=</m:t>
          </m:r>
          <m:r>
            <m:t>1</m:t>
          </m:r>
          <m:r>
            <m:t>/</m:t>
          </m:r>
          <m:r>
            <m:t>m</m:t>
          </m:r>
          <m:r>
            <m:t>,</m:t>
          </m:r>
          <m:r>
            <m:t> </m:t>
          </m:r>
          <m:r>
            <m:t> </m:t>
          </m:r>
          <m:sSub>
            <m:e>
              <m:r>
                <m:t>d</m:t>
              </m:r>
            </m:e>
            <m:sub>
              <m:r>
                <m:t>m</m:t>
              </m:r>
            </m:sub>
          </m:sSub>
          <m:r>
            <m:t>=</m:t>
          </m:r>
          <m:f>
            <m:fPr>
              <m:type m:val="bar"/>
            </m:fPr>
            <m:num>
              <m:r>
                <m:t>m</m:t>
              </m:r>
            </m:num>
            <m:den>
              <m:sSub>
                <m:e>
                  <m:r>
                    <m:t>σ</m:t>
                  </m:r>
                </m:e>
                <m:sub>
                  <m:r>
                    <m:t>d</m:t>
                  </m:r>
                  <m:r>
                    <m:t>i</m:t>
                  </m:r>
                  <m:r>
                    <m:t>f</m:t>
                  </m:r>
                  <m:r>
                    <m:t>f</m:t>
                  </m:r>
                </m:sub>
              </m:sSub>
            </m:den>
          </m:f>
          <m:r>
            <m:rPr>
              <m:sty m:val="p"/>
            </m:rPr>
            <m:t>exp</m:t>
          </m:r>
          <m:d>
            <m:dPr>
              <m:begChr m:val="("/>
              <m:endChr m:val=")"/>
              <m:grow/>
            </m:dPr>
            <m:e>
              <m:r>
                <m:t>−</m:t>
              </m:r>
              <m:f>
                <m:fPr>
                  <m:type m:val="bar"/>
                </m:fPr>
                <m:num>
                  <m:r>
                    <m:t>m</m:t>
                  </m:r>
                </m:num>
                <m:den>
                  <m:sSub>
                    <m:e>
                      <m:r>
                        <m:t>σ</m:t>
                      </m:r>
                    </m:e>
                    <m:sub>
                      <m:r>
                        <m:t>d</m:t>
                      </m:r>
                      <m:r>
                        <m:t>i</m:t>
                      </m:r>
                      <m:r>
                        <m:t>f</m:t>
                      </m:r>
                      <m:r>
                        <m:t>f</m:t>
                      </m:r>
                    </m:sub>
                  </m:sSub>
                </m:den>
              </m:f>
            </m:e>
          </m:d>
        </m:oMath>
      </m:oMathPara>
    </w:p>
    <w:p>
      <w:pPr>
        <w:numPr>
          <w:numId w:val="1003"/>
          <w:ilvl w:val="0"/>
        </w:numPr>
      </w:pPr>
      <w:r>
        <w:t xml:space="preserve">where</w:t>
      </w:r>
      <w:r>
        <w:t xml:space="preserve"> </w:t>
      </w:r>
      <m:oMath>
        <m:sSub>
          <m:e>
            <m:r>
              <m:t>σ</m:t>
            </m:r>
          </m:e>
          <m:sub>
            <m:r>
              <m:t>d</m:t>
            </m:r>
            <m:r>
              <m:t>i</m:t>
            </m:r>
            <m:r>
              <m:t>f</m:t>
            </m:r>
            <m:r>
              <m:t>f</m:t>
            </m:r>
          </m:sub>
        </m:sSub>
      </m:oMath>
      <w:r>
        <w:t xml:space="preserve"> </w:t>
      </w:r>
      <w:r>
        <w:t xml:space="preserve">is a scale parameter. Since by assumption (c), tangles are assumed to be immobile, hence the diffusivity rate of</w:t>
      </w:r>
      <w:r>
        <w:t xml:space="preserve"> </w:t>
      </w:r>
      <m:oMath>
        <m:sSub>
          <m:e>
            <m:r>
              <m:t>τ</m:t>
            </m:r>
          </m:e>
          <m:sub>
            <m:r>
              <m:t>M</m:t>
            </m:r>
          </m:sub>
        </m:sSub>
      </m:oMath>
      <w:r>
        <w:t xml:space="preserve"> </w:t>
      </w:r>
      <w:r>
        <w:t xml:space="preserve">should vanish; here, instead of imposing a hard constraint, we rely on the above Gamma functions to ensure that at large</w:t>
      </w:r>
      <w:r>
        <w:t xml:space="preserve"> </w:t>
      </w:r>
      <m:oMath>
        <m:r>
          <m:t>m</m:t>
        </m:r>
      </m:oMath>
      <w:r>
        <w:t xml:space="preserve"> </w:t>
      </w:r>
      <w:r>
        <w:t xml:space="preserve">the diffusivity rate decays to close to zero.</w:t>
      </w:r>
    </w:p>
    <w:p>
      <w:pPr>
        <w:pStyle w:val="FirstParagraph"/>
      </w:pPr>
      <w:r>
        <w:t xml:space="preserve">We can now write extensively the system satisfied by</w:t>
      </w:r>
      <w:r>
        <w:t xml:space="preserve"> </w:t>
      </w:r>
      <m:oMath>
        <m:r>
          <m:t>τ</m:t>
        </m:r>
        <m:r>
          <m:t>=</m:t>
        </m:r>
        <m:r>
          <m:t>(</m:t>
        </m:r>
        <m:sSub>
          <m:e>
            <m:r>
              <m:t>τ</m:t>
            </m:r>
          </m:e>
          <m:sub>
            <m:r>
              <m:t>1</m:t>
            </m:r>
          </m:sub>
        </m:sSub>
        <m:r>
          <m:t>,</m:t>
        </m:r>
        <m:r>
          <m:t>…</m:t>
        </m:r>
        <m:r>
          <m:t>,</m:t>
        </m:r>
        <m:sSub>
          <m:e>
            <m:r>
              <m:t>τ</m:t>
            </m:r>
          </m:e>
          <m:sub>
            <m:r>
              <m:t>M</m:t>
            </m:r>
          </m:sub>
        </m:sSub>
        <m:r>
          <m:t>)</m:t>
        </m:r>
      </m:oMath>
      <w:r>
        <w:t xml:space="preserve">.</w:t>
      </w:r>
    </w:p>
    <w:p>
      <w:pPr>
        <w:pStyle w:val="BodyText"/>
      </w:pPr>
      <w:r>
        <w:t xml:space="preserve">The evolution of the concentration of</w:t>
      </w:r>
      <w:r>
        <w:t xml:space="preserve"> </w:t>
      </w:r>
      <m:oMath>
        <m:r>
          <m:t>τ</m:t>
        </m:r>
      </m:oMath>
      <w:r>
        <w:t xml:space="preserve"> </w:t>
      </w:r>
      <w:r>
        <w:t xml:space="preserve">is described by Smoluchowski equations on</w:t>
      </w:r>
      <w:r>
        <w:t xml:space="preserve"> </w:t>
      </w:r>
      <m:oMath>
        <m:r>
          <m:t>Γ</m:t>
        </m:r>
      </m:oMath>
      <w:r>
        <w:t xml:space="preserve">. If</w:t>
      </w:r>
      <w:r>
        <w:t xml:space="preserve"> </w:t>
      </w:r>
      <m:oMath>
        <m:r>
          <m:t>t</m:t>
        </m:r>
        <m:r>
          <m:t>≥</m:t>
        </m:r>
        <m:r>
          <m:t>0</m:t>
        </m:r>
      </m:oMath>
      <w:r>
        <w:t xml:space="preserve"> </w:t>
      </w:r>
      <w:r>
        <w:t xml:space="preserve">and</w:t>
      </w:r>
      <w:r>
        <w:t xml:space="preserve"> </w:t>
      </w:r>
      <m:oMath>
        <m:r>
          <m:rPr>
            <m:sty m:val="b"/>
          </m:rPr>
          <m:t>v</m:t>
        </m:r>
        <m:r>
          <m:t>∈</m:t>
        </m:r>
        <m:r>
          <m:t>V</m:t>
        </m:r>
        <m:r>
          <m:t>(</m:t>
        </m:r>
        <m:r>
          <m:t>Γ</m:t>
        </m:r>
        <m:r>
          <m:t>)</m:t>
        </m:r>
      </m:oMath>
      <w:r>
        <w:t xml:space="preserve">, then</w:t>
      </w:r>
      <w:r>
        <w:t xml:space="preserve"> </w:t>
      </w:r>
      <w:r>
        <w:t xml:space="preserve">the equation for monomers is</w:t>
      </w:r>
    </w:p>
    <w:p>
      <w:pPr>
        <w:pStyle w:val="BodyText"/>
      </w:pPr>
      <m:oMathPara>
        <m:oMathParaPr>
          <m:jc m:val="center"/>
        </m:oMathParaPr>
        <m:oMath>
          <m:f>
            <m:fPr>
              <m:type m:val="bar"/>
            </m:fPr>
            <m:num>
              <m:r>
                <m:t>∂</m:t>
              </m:r>
              <m:sSub>
                <m:e>
                  <m:r>
                    <m:t>τ</m:t>
                  </m:r>
                </m:e>
                <m:sub>
                  <m:r>
                    <m:t>1</m:t>
                  </m:r>
                </m:sub>
              </m:sSub>
              <m:r>
                <m:t>(</m:t>
              </m:r>
              <m:r>
                <m:rPr>
                  <m:sty m:val="b"/>
                </m:rPr>
                <m:t>v</m:t>
              </m:r>
              <m:r>
                <m:t>,</m:t>
              </m:r>
              <m:r>
                <m:t>t</m:t>
              </m:r>
              <m:r>
                <m:t>)</m:t>
              </m:r>
            </m:num>
            <m:den>
              <m:r>
                <m:t>∂</m:t>
              </m:r>
              <m:r>
                <m:t>t</m:t>
              </m:r>
            </m:den>
          </m:f>
          <m:r>
            <m:t>=</m:t>
          </m:r>
          <m:r>
            <m:t>−</m:t>
          </m:r>
          <m:sSub>
            <m:e>
              <m:r>
                <m:t>d</m:t>
              </m:r>
            </m:e>
            <m:sub>
              <m:r>
                <m:t>1</m:t>
              </m:r>
            </m:sub>
          </m:sSub>
          <m:sSub>
            <m:e>
              <m:r>
                <m:t>Δ</m:t>
              </m:r>
            </m:e>
            <m:sub>
              <m:r>
                <m:t>Γ</m:t>
              </m:r>
            </m:sub>
          </m:sSub>
          <m:sSub>
            <m:e>
              <m:r>
                <m:t>τ</m:t>
              </m:r>
            </m:e>
            <m:sub>
              <m:r>
                <m:t>1</m:t>
              </m:r>
            </m:sub>
          </m:sSub>
          <m:r>
            <m:t>(</m:t>
          </m:r>
          <m:r>
            <m:rPr>
              <m:sty m:val="b"/>
            </m:rPr>
            <m:t>v</m:t>
          </m:r>
          <m:r>
            <m:t>,</m:t>
          </m:r>
          <m:r>
            <m:t>t</m:t>
          </m:r>
          <m:r>
            <m:t>)</m:t>
          </m:r>
          <m:r>
            <m:t>−</m:t>
          </m:r>
          <m:sSub>
            <m:e>
              <m:r>
                <m:t>c</m:t>
              </m:r>
            </m:e>
            <m:sub>
              <m:r>
                <m:t>1</m:t>
              </m:r>
            </m:sub>
          </m:sSub>
          <m:sSub>
            <m:e>
              <m:r>
                <m:t>τ</m:t>
              </m:r>
            </m:e>
            <m:sub>
              <m:r>
                <m:t>1</m:t>
              </m:r>
            </m:sub>
          </m:sSub>
          <m:r>
            <m:t>(</m:t>
          </m:r>
          <m:r>
            <m:rPr>
              <m:sty m:val="b"/>
            </m:rPr>
            <m:t>v</m:t>
          </m:r>
          <m:r>
            <m:t>,</m:t>
          </m:r>
          <m:r>
            <m:t>t</m:t>
          </m:r>
          <m:r>
            <m:t>)</m:t>
          </m:r>
          <m:nary>
            <m:naryPr>
              <m:chr m:val="∑"/>
              <m:limLoc m:val="undOvr"/>
              <m:subHide m:val="0"/>
              <m:supHide m:val="0"/>
            </m:naryPr>
            <m:sub>
              <m:r>
                <m:t>j</m:t>
              </m:r>
              <m:r>
                <m:t>=</m:t>
              </m:r>
              <m:r>
                <m:t>1</m:t>
              </m:r>
            </m:sub>
            <m:sup>
              <m:r>
                <m:t>M</m:t>
              </m:r>
            </m:sup>
            <m:e>
              <m:sSub>
                <m:e>
                  <m:r>
                    <m:t>a</m:t>
                  </m:r>
                </m:e>
                <m:sub>
                  <m:r>
                    <m:t>1</m:t>
                  </m:r>
                  <m:r>
                    <m:t>,</m:t>
                  </m:r>
                  <m:r>
                    <m:t>j</m:t>
                  </m:r>
                </m:sub>
              </m:sSub>
            </m:e>
          </m:nary>
          <m:sSub>
            <m:e>
              <m:r>
                <m:t>τ</m:t>
              </m:r>
            </m:e>
            <m:sub>
              <m:r>
                <m:t>j</m:t>
              </m:r>
            </m:sub>
          </m:sSub>
          <m:r>
            <m:t>,</m:t>
          </m:r>
          <m:r>
            <m:t>(</m:t>
          </m:r>
          <m:r>
            <m:rPr>
              <m:sty m:val="b"/>
            </m:rPr>
            <m:t>v</m:t>
          </m:r>
          <m:r>
            <m:t>,</m:t>
          </m:r>
          <m:r>
            <m:t>t</m:t>
          </m:r>
          <m:r>
            <m:t>)</m:t>
          </m:r>
          <m:r>
            <m:t>+</m:t>
          </m:r>
          <m:sSub>
            <m:e>
              <m:r>
                <m:t>c</m:t>
              </m:r>
            </m:e>
            <m:sub>
              <m:r>
                <m:t>2</m:t>
              </m:r>
            </m:sub>
          </m:sSub>
          <m:sSub>
            <m:e>
              <m:r>
                <m:t>f</m:t>
              </m:r>
            </m:e>
            <m:sub>
              <m:r>
                <m:t>τ</m:t>
              </m:r>
            </m:sub>
          </m:sSub>
          <m:r>
            <m:t>(</m:t>
          </m:r>
          <m:r>
            <m:rPr>
              <m:sty m:val="b"/>
            </m:rPr>
            <m:t>v</m:t>
          </m:r>
          <m:r>
            <m:t>,</m:t>
          </m:r>
          <m:r>
            <m:t>t</m:t>
          </m:r>
          <m:r>
            <m:t>)</m:t>
          </m:r>
          <m:r>
            <m:t>,</m:t>
          </m:r>
        </m:oMath>
      </m:oMathPara>
    </w:p>
    <w:p>
      <w:pPr>
        <w:pStyle w:val="FirstParagraph"/>
      </w:pPr>
      <w:r>
        <w:t xml:space="preserve">where</w:t>
      </w:r>
      <w:r>
        <w:t xml:space="preserve"> </w:t>
      </w:r>
      <m:oMath>
        <m:sSub>
          <m:e>
            <m:r>
              <m:t>Δ</m:t>
            </m:r>
          </m:e>
          <m:sub>
            <m:r>
              <m:t>Γ</m:t>
            </m:r>
          </m:sub>
        </m:sSub>
      </m:oMath>
      <w:r>
        <w:t xml:space="preserve"> </w:t>
      </w:r>
      <w:r>
        <w:t xml:space="preserve">denotes the</w:t>
      </w:r>
      <w:r>
        <w:t xml:space="preserve"> </w:t>
      </w:r>
      <w:r>
        <w:rPr>
          <w:i/>
        </w:rPr>
        <w:t xml:space="preserve">positive</w:t>
      </w:r>
      <w:r>
        <w:t xml:space="preserve"> </w:t>
      </w:r>
      <w:r>
        <w:t xml:space="preserve">weighted Laplacian associated with the graph</w:t>
      </w:r>
      <w:r>
        <w:t xml:space="preserve"> </w:t>
      </w:r>
      <m:oMath>
        <m:r>
          <m:t>Γ</m:t>
        </m:r>
      </m:oMath>
      <w:r>
        <w:t xml:space="preserve">,</w:t>
      </w:r>
      <w:r>
        <w:t xml:space="preserve"> </w:t>
      </w:r>
      <m:oMath>
        <m:sSub>
          <m:e>
            <m:r>
              <m:t>d</m:t>
            </m:r>
          </m:e>
          <m:sub>
            <m:r>
              <m:t>1</m:t>
            </m:r>
          </m:sub>
        </m:sSub>
      </m:oMath>
      <w:r>
        <w:t xml:space="preserve"> </w:t>
      </w:r>
      <w:r>
        <w:t xml:space="preserve">is the diffusivity constant for</w:t>
      </w:r>
      <w:r>
        <w:t xml:space="preserve"> </w:t>
      </w:r>
      <m:oMath>
        <m:r>
          <m:t>m</m:t>
        </m:r>
        <m:r>
          <m:t>=</m:t>
        </m:r>
        <m:r>
          <m:t>1</m:t>
        </m:r>
      </m:oMath>
      <w:r>
        <w:t xml:space="preserve">, and</w:t>
      </w:r>
      <w:r>
        <w:t xml:space="preserve"> </w:t>
      </w:r>
      <m:oMath>
        <m:sSub>
          <m:e>
            <m:r>
              <m:t>c</m:t>
            </m:r>
          </m:e>
          <m:sub>
            <m:r>
              <m:t>1</m:t>
            </m:r>
          </m:sub>
        </m:sSub>
        <m:r>
          <m:t>,</m:t>
        </m:r>
        <m:sSub>
          <m:e>
            <m:r>
              <m:t>c</m:t>
            </m:r>
          </m:e>
          <m:sub>
            <m:r>
              <m:t>2</m:t>
            </m:r>
          </m:sub>
        </m:sSub>
      </m:oMath>
      <w:r>
        <w:t xml:space="preserve"> </w:t>
      </w:r>
      <w:r>
        <w:t xml:space="preserve">are two positive constants that control the relative rates at which network diffusion is related to aggregation and monomer production, respectively.</w:t>
      </w:r>
      <w:r>
        <w:t xml:space="preserve"> </w:t>
      </w:r>
      <w:r>
        <w:t xml:space="preserve">The equation for polymers is</w:t>
      </w:r>
    </w:p>
    <w:p>
      <w:pPr>
        <w:pStyle w:val="BodyText"/>
      </w:pPr>
      <m:oMathPara>
        <m:oMathParaPr>
          <m:jc m:val="center"/>
        </m:oMathParaPr>
        <m:oMath>
          <m:f>
            <m:fPr>
              <m:type m:val="bar"/>
            </m:fPr>
            <m:num>
              <m:r>
                <m:t>∂</m:t>
              </m:r>
              <m:sSub>
                <m:e>
                  <m:r>
                    <m:t>τ</m:t>
                  </m:r>
                </m:e>
                <m:sub>
                  <m:r>
                    <m:t>m</m:t>
                  </m:r>
                </m:sub>
              </m:sSub>
              <m:r>
                <m:t>(</m:t>
              </m:r>
              <m:r>
                <m:rPr>
                  <m:sty m:val="b"/>
                </m:rPr>
                <m:t>v</m:t>
              </m:r>
              <m:r>
                <m:t>,</m:t>
              </m:r>
              <m:r>
                <m:t>t</m:t>
              </m:r>
              <m:r>
                <m:t>)</m:t>
              </m:r>
            </m:num>
            <m:den>
              <m:r>
                <m:t>∂</m:t>
              </m:r>
              <m:r>
                <m:t>t</m:t>
              </m:r>
            </m:den>
          </m:f>
          <m:r>
            <m:t>=</m:t>
          </m:r>
          <m:r>
            <m:t>−</m:t>
          </m:r>
          <m:sSub>
            <m:e>
              <m:r>
                <m:t>d</m:t>
              </m:r>
            </m:e>
            <m:sub>
              <m:r>
                <m:t>m</m:t>
              </m:r>
            </m:sub>
          </m:sSub>
          <m:sSub>
            <m:e>
              <m:r>
                <m:t>Δ</m:t>
              </m:r>
            </m:e>
            <m:sub>
              <m:r>
                <m:t>Γ</m:t>
              </m:r>
            </m:sub>
          </m:sSub>
          <m:sSub>
            <m:e>
              <m:r>
                <m:t>τ</m:t>
              </m:r>
            </m:e>
            <m:sub>
              <m:r>
                <m:t>m</m:t>
              </m:r>
            </m:sub>
          </m:sSub>
          <m:r>
            <m:t>(</m:t>
          </m:r>
          <m:r>
            <m:rPr>
              <m:sty m:val="b"/>
            </m:rPr>
            <m:t>v</m:t>
          </m:r>
          <m:r>
            <m:t>,</m:t>
          </m:r>
          <m:r>
            <m:t>t</m:t>
          </m:r>
          <m:r>
            <m:t>)</m:t>
          </m:r>
          <m:r>
            <m:t>+</m:t>
          </m:r>
          <m:sSub>
            <m:e>
              <m:r>
                <m:t>c</m:t>
              </m:r>
            </m:e>
            <m:sub>
              <m:r>
                <m:t>1</m:t>
              </m:r>
            </m:sub>
          </m:sSub>
          <m:d>
            <m:dPr>
              <m:begChr m:val="["/>
              <m:endChr m:val="]"/>
              <m:grow/>
            </m:dPr>
            <m:e>
              <m:f>
                <m:fPr>
                  <m:type m:val="bar"/>
                </m:fPr>
                <m:num>
                  <m:r>
                    <m:t>1</m:t>
                  </m:r>
                </m:num>
                <m:den>
                  <m:r>
                    <m:t>2</m:t>
                  </m:r>
                </m:den>
              </m:f>
              <m:nary>
                <m:naryPr>
                  <m:chr m:val="∑"/>
                  <m:limLoc m:val="undOvr"/>
                  <m:subHide m:val="0"/>
                  <m:supHide m:val="0"/>
                </m:naryPr>
                <m:sub>
                  <m:r>
                    <m:t>j</m:t>
                  </m:r>
                  <m:r>
                    <m:t>=</m:t>
                  </m:r>
                  <m:r>
                    <m:t>1</m:t>
                  </m:r>
                </m:sub>
                <m:sup>
                  <m:r>
                    <m:t>m</m:t>
                  </m:r>
                  <m:r>
                    <m:t>−</m:t>
                  </m:r>
                  <m:r>
                    <m:t>1</m:t>
                  </m:r>
                </m:sup>
                <m:e>
                  <m:sSub>
                    <m:e>
                      <m:r>
                        <m:t>a</m:t>
                      </m:r>
                    </m:e>
                    <m:sub>
                      <m:r>
                        <m:t>j</m:t>
                      </m:r>
                      <m:r>
                        <m:t>,</m:t>
                      </m:r>
                      <m:r>
                        <m:t>m</m:t>
                      </m:r>
                      <m:r>
                        <m:t>−</m:t>
                      </m:r>
                      <m:r>
                        <m:t>j</m:t>
                      </m:r>
                    </m:sub>
                  </m:sSub>
                </m:e>
              </m:nary>
              <m:sSub>
                <m:e>
                  <m:r>
                    <m:t>τ</m:t>
                  </m:r>
                </m:e>
                <m:sub>
                  <m:r>
                    <m:t>j</m:t>
                  </m:r>
                </m:sub>
              </m:sSub>
              <m:r>
                <m:t>(</m:t>
              </m:r>
              <m:r>
                <m:rPr>
                  <m:sty m:val="b"/>
                </m:rPr>
                <m:t>v</m:t>
              </m:r>
              <m:r>
                <m:t>,</m:t>
              </m:r>
              <m:r>
                <m:t>t</m:t>
              </m:r>
              <m:r>
                <m:t>)</m:t>
              </m:r>
              <m:sSub>
                <m:e>
                  <m:r>
                    <m:t>τ</m:t>
                  </m:r>
                </m:e>
                <m:sub>
                  <m:r>
                    <m:t>m</m:t>
                  </m:r>
                  <m:r>
                    <m:t>−</m:t>
                  </m:r>
                  <m:r>
                    <m:t>j</m:t>
                  </m:r>
                </m:sub>
              </m:sSub>
              <m:r>
                <m:t>(</m:t>
              </m:r>
              <m:r>
                <m:rPr>
                  <m:sty m:val="b"/>
                </m:rPr>
                <m:t>v</m:t>
              </m:r>
              <m:r>
                <m:t>,</m:t>
              </m:r>
              <m:r>
                <m:t>t</m:t>
              </m:r>
              <m:r>
                <m:t>)</m:t>
              </m:r>
              <m:r>
                <m:t>−</m:t>
              </m:r>
              <m:sSub>
                <m:e>
                  <m:r>
                    <m:t>τ</m:t>
                  </m:r>
                </m:e>
                <m:sub>
                  <m:r>
                    <m:t>m</m:t>
                  </m:r>
                </m:sub>
              </m:sSub>
              <m:r>
                <m:t>(</m:t>
              </m:r>
              <m:r>
                <m:rPr>
                  <m:sty m:val="b"/>
                </m:rPr>
                <m:t>v</m:t>
              </m:r>
              <m:r>
                <m:t>,</m:t>
              </m:r>
              <m:r>
                <m:t>t</m:t>
              </m:r>
              <m:r>
                <m:t>)</m:t>
              </m:r>
              <m:nary>
                <m:naryPr>
                  <m:chr m:val="∑"/>
                  <m:limLoc m:val="undOvr"/>
                  <m:subHide m:val="0"/>
                  <m:supHide m:val="0"/>
                </m:naryPr>
                <m:sub>
                  <m:r>
                    <m:t>j</m:t>
                  </m:r>
                  <m:r>
                    <m:t>=</m:t>
                  </m:r>
                  <m:r>
                    <m:t>1</m:t>
                  </m:r>
                </m:sub>
                <m:sup>
                  <m:r>
                    <m:t>M</m:t>
                  </m:r>
                </m:sup>
                <m:e>
                  <m:sSub>
                    <m:e>
                      <m:r>
                        <m:t>a</m:t>
                      </m:r>
                    </m:e>
                    <m:sub>
                      <m:r>
                        <m:t>m</m:t>
                      </m:r>
                      <m:r>
                        <m:t>,</m:t>
                      </m:r>
                      <m:r>
                        <m:t>j</m:t>
                      </m:r>
                    </m:sub>
                  </m:sSub>
                </m:e>
              </m:nary>
              <m:sSub>
                <m:e>
                  <m:r>
                    <m:t>τ</m:t>
                  </m:r>
                </m:e>
                <m:sub>
                  <m:r>
                    <m:t>j</m:t>
                  </m:r>
                </m:sub>
              </m:sSub>
              <m:r>
                <m:t>(</m:t>
              </m:r>
              <m:r>
                <m:rPr>
                  <m:sty m:val="b"/>
                </m:rPr>
                <m:t>v</m:t>
              </m:r>
              <m:r>
                <m:t>,</m:t>
              </m:r>
              <m:r>
                <m:t>t</m:t>
              </m:r>
              <m:r>
                <m:t>)</m:t>
              </m:r>
            </m:e>
          </m:d>
        </m:oMath>
      </m:oMathPara>
    </w:p>
    <w:p>
      <w:pPr>
        <w:pStyle w:val="FirstParagraph"/>
      </w:pPr>
      <w:r>
        <w:t xml:space="preserve">for</w:t>
      </w:r>
      <w:r>
        <w:t xml:space="preserve"> </w:t>
      </w:r>
      <m:oMath>
        <m:r>
          <m:t>1</m:t>
        </m:r>
        <m:r>
          <m:t>≤</m:t>
        </m:r>
        <m:r>
          <m:t>m</m:t>
        </m:r>
        <m:r>
          <m:t>≤</m:t>
        </m:r>
        <m:r>
          <m:t>M</m:t>
        </m:r>
      </m:oMath>
      <w:r>
        <w:t xml:space="preserve"> </w:t>
      </w:r>
      <w:r>
        <w:t xml:space="preserve">and</w:t>
      </w:r>
      <w:r>
        <w:t xml:space="preserve"> </w:t>
      </w:r>
      <m:oMath>
        <m:r>
          <m:rPr>
            <m:sty m:val="b"/>
          </m:rPr>
          <m:t>v</m:t>
        </m:r>
        <m:r>
          <m:t>∈</m:t>
        </m:r>
        <m:r>
          <m:t>V</m:t>
        </m:r>
        <m:r>
          <m:t>(</m:t>
        </m:r>
        <m:r>
          <m:t>Γ</m:t>
        </m:r>
        <m:r>
          <m:t>)</m:t>
        </m:r>
      </m:oMath>
      <w:r>
        <w:t xml:space="preserve">.</w:t>
      </w:r>
    </w:p>
    <w:p>
      <w:pPr>
        <w:pStyle w:val="BodyText"/>
      </w:pPr>
      <w:r>
        <w:t xml:space="preserve">Finally, the evolution of tangles is described by the equation</w:t>
      </w:r>
    </w:p>
    <w:p>
      <w:pPr>
        <w:pStyle w:val="BodyText"/>
      </w:pPr>
      <m:oMathPara>
        <m:oMathParaPr>
          <m:jc m:val="center"/>
        </m:oMathParaPr>
        <m:oMath>
          <m:f>
            <m:fPr>
              <m:type m:val="bar"/>
            </m:fPr>
            <m:num>
              <m:r>
                <m:t>∂</m:t>
              </m:r>
              <m:sSub>
                <m:e>
                  <m:r>
                    <m:t>τ</m:t>
                  </m:r>
                </m:e>
                <m:sub>
                  <m:r>
                    <m:t>M</m:t>
                  </m:r>
                </m:sub>
              </m:sSub>
              <m:r>
                <m:t>(</m:t>
              </m:r>
              <m:r>
                <m:rPr>
                  <m:sty m:val="b"/>
                </m:rPr>
                <m:t>v</m:t>
              </m:r>
              <m:r>
                <m:t>,</m:t>
              </m:r>
              <m:r>
                <m:t>t</m:t>
              </m:r>
              <m:r>
                <m:t>)</m:t>
              </m:r>
            </m:num>
            <m:den>
              <m:r>
                <m:t>∂</m:t>
              </m:r>
              <m:r>
                <m:t>t</m:t>
              </m:r>
            </m:den>
          </m:f>
          <m:r>
            <m:t>=</m:t>
          </m:r>
          <m:f>
            <m:fPr>
              <m:type m:val="bar"/>
            </m:fPr>
            <m:num>
              <m:sSub>
                <m:e>
                  <m:r>
                    <m:t>c</m:t>
                  </m:r>
                </m:e>
                <m:sub>
                  <m:r>
                    <m:t>1</m:t>
                  </m:r>
                </m:sub>
              </m:sSub>
            </m:num>
            <m:den>
              <m:r>
                <m:t>2</m:t>
              </m:r>
            </m:den>
          </m:f>
          <m:nary>
            <m:naryPr>
              <m:chr m:val="∑"/>
              <m:limLoc m:val="undOvr"/>
              <m:subHide m:val="0"/>
              <m:supHide m:val="1"/>
            </m:naryPr>
            <m:sub>
              <m:r>
                <m:t>j</m:t>
              </m:r>
              <m:r>
                <m:t>+</m:t>
              </m:r>
              <m:r>
                <m:t>k</m:t>
              </m:r>
              <m:r>
                <m:t>≥</m:t>
              </m:r>
              <m:r>
                <m:t>M</m:t>
              </m:r>
              <m:r>
                <m:t>;</m:t>
              </m:r>
              <m:r>
                <m:t> </m:t>
              </m:r>
              <m:r>
                <m:t> </m:t>
              </m:r>
              <m:r>
                <m:t>k</m:t>
              </m:r>
              <m:r>
                <m:t>,</m:t>
              </m:r>
              <m:r>
                <m:t> </m:t>
              </m:r>
              <m:r>
                <m:t>j</m:t>
              </m:r>
              <m:r>
                <m:t>&lt;</m:t>
              </m:r>
              <m:r>
                <m:t>M</m:t>
              </m:r>
            </m:sub>
            <m:sup/>
            <m:e>
              <m:sSub>
                <m:e>
                  <m:r>
                    <m:t>a</m:t>
                  </m:r>
                </m:e>
                <m:sub>
                  <m:r>
                    <m:t>j</m:t>
                  </m:r>
                  <m:r>
                    <m:t>,</m:t>
                  </m:r>
                  <m:r>
                    <m:t>k</m:t>
                  </m:r>
                </m:sub>
              </m:sSub>
            </m:e>
          </m:nary>
          <m:sSub>
            <m:e>
              <m:r>
                <m:t>τ</m:t>
              </m:r>
            </m:e>
            <m:sub>
              <m:r>
                <m:t>j</m:t>
              </m:r>
            </m:sub>
          </m:sSub>
          <m:r>
            <m:t>(</m:t>
          </m:r>
          <m:r>
            <m:rPr>
              <m:sty m:val="b"/>
            </m:rPr>
            <m:t>v</m:t>
          </m:r>
          <m:r>
            <m:t>,</m:t>
          </m:r>
          <m:r>
            <m:t>t</m:t>
          </m:r>
          <m:r>
            <m:t>)</m:t>
          </m:r>
          <m:sSub>
            <m:e>
              <m:r>
                <m:t>τ</m:t>
              </m:r>
            </m:e>
            <m:sub>
              <m:r>
                <m:t>k</m:t>
              </m:r>
            </m:sub>
          </m:sSub>
          <m:r>
            <m:t>(</m:t>
          </m:r>
          <m:r>
            <m:rPr>
              <m:sty m:val="b"/>
            </m:rPr>
            <m:t>v</m:t>
          </m:r>
          <m:r>
            <m:t>,</m:t>
          </m:r>
          <m:r>
            <m:t>t</m:t>
          </m:r>
          <m:r>
            <m:t>)</m:t>
          </m:r>
          <m:r>
            <m:t>.</m:t>
          </m:r>
        </m:oMath>
      </m:oMathPara>
    </w:p>
    <w:p>
      <w:pPr>
        <w:pStyle w:val="FirstParagraph"/>
      </w:pPr>
      <w:r>
        <w:t xml:space="preserve">Equations ,</w:t>
      </w:r>
      <w:r>
        <w:t xml:space="preserve"> </w:t>
      </w:r>
      <w:r>
        <w:t xml:space="preserve">, must be associated with initial data at</w:t>
      </w:r>
      <w:r>
        <w:t xml:space="preserve"> </w:t>
      </w:r>
      <m:oMath>
        <m:r>
          <m:t>t</m:t>
        </m:r>
        <m:r>
          <m:t>=</m:t>
        </m:r>
        <m:sSub>
          <m:e>
            <m:r>
              <m:t>t</m:t>
            </m:r>
          </m:e>
          <m:sub>
            <m:r>
              <m:t>0</m:t>
            </m:r>
          </m:sub>
        </m:sSub>
      </m:oMath>
      <w:r>
        <w:t xml:space="preserve">.</w:t>
      </w:r>
      <w:r>
        <w:t xml:space="preserve"> </w:t>
      </w:r>
      <w:r>
        <w:t xml:space="preserve">We assume that</w:t>
      </w:r>
      <w:r>
        <w:t xml:space="preserve"> </w:t>
      </w:r>
      <m:oMath>
        <m:sSub>
          <m:e>
            <m:r>
              <m:t>τ</m:t>
            </m:r>
          </m:e>
          <m:sub>
            <m:r>
              <m:t>m</m:t>
            </m:r>
          </m:sub>
        </m:sSub>
        <m:r>
          <m:t>(</m:t>
        </m:r>
        <m:r>
          <m:rPr>
            <m:sty m:val="b"/>
          </m:rPr>
          <m:t>v</m:t>
        </m:r>
        <m:r>
          <m:t>,</m:t>
        </m:r>
        <m:sSub>
          <m:e>
            <m:r>
              <m:t>t</m:t>
            </m:r>
          </m:e>
          <m:sub>
            <m:r>
              <m:t>0</m:t>
            </m:r>
          </m:sub>
        </m:sSub>
        <m:r>
          <m:t>)</m:t>
        </m:r>
        <m:r>
          <m:t>=</m:t>
        </m:r>
        <m:sSub>
          <m:e>
            <m:r>
              <m:t>τ</m:t>
            </m:r>
          </m:e>
          <m:sub>
            <m:r>
              <m:t>0</m:t>
            </m:r>
            <m:r>
              <m:t>,</m:t>
            </m:r>
            <m:r>
              <m:t>m</m:t>
            </m:r>
          </m:sub>
        </m:sSub>
        <m:r>
          <m:t>(</m:t>
        </m:r>
        <m:r>
          <m:rPr>
            <m:sty m:val="b"/>
          </m:rPr>
          <m:t>v</m:t>
        </m:r>
        <m:r>
          <m:t>)</m:t>
        </m:r>
      </m:oMath>
      <w:r>
        <w:t xml:space="preserve"> </w:t>
      </w:r>
      <w:r>
        <w:t xml:space="preserve">for</w:t>
      </w:r>
      <w:r>
        <w:t xml:space="preserve"> </w:t>
      </w:r>
      <m:oMath>
        <m:r>
          <m:t>1</m:t>
        </m:r>
        <m:r>
          <m:t>≤</m:t>
        </m:r>
        <m:r>
          <m:t>m</m:t>
        </m:r>
        <m:r>
          <m:t>≤</m:t>
        </m:r>
        <m:r>
          <m:t>M</m:t>
        </m:r>
      </m:oMath>
      <w:r>
        <w:t xml:space="preserve"> </w:t>
      </w:r>
      <w:r>
        <w:t xml:space="preserve">and</w:t>
      </w:r>
      <w:r>
        <w:t xml:space="preserve"> </w:t>
      </w:r>
      <m:oMath>
        <m:r>
          <m:rPr>
            <m:sty m:val="b"/>
          </m:rPr>
          <m:t>v</m:t>
        </m:r>
        <m:r>
          <m:t>∈</m:t>
        </m:r>
        <m:r>
          <m:t>V</m:t>
        </m:r>
        <m:r>
          <m:t>(</m:t>
        </m:r>
        <m:r>
          <m:t>Γ</m:t>
        </m:r>
        <m:r>
          <m:t>)</m:t>
        </m:r>
      </m:oMath>
      <w:r>
        <w:t xml:space="preserve">.</w:t>
      </w:r>
    </w:p>
    <w:p>
      <w:pPr>
        <w:pStyle w:val="BodyText"/>
      </w:pPr>
      <w:r>
        <w:t xml:space="preserve">The actual numbers of oligomer length of</w:t>
      </w:r>
      <w:r>
        <w:t xml:space="preserve"> </w:t>
      </w:r>
      <m:oMath>
        <m:r>
          <m:t>τ</m:t>
        </m:r>
      </m:oMath>
      <w:r>
        <w:t xml:space="preserve"> </w:t>
      </w:r>
      <w:r>
        <w:t xml:space="preserve">are under study and a range of plausible values have been proposed, typically 20 to 40. It is not necessary for the purpose of understanding the aggregation and diffusion dynamics to consider such a large number of oligomer length. Hence for the sake of computational load and interpretability, here we have lumped oligomers into only 5 bins, such that</w:t>
      </w:r>
      <w:r>
        <w:t xml:space="preserve"> </w:t>
      </w:r>
      <m:oMath>
        <m:r>
          <m:t>m</m:t>
        </m:r>
      </m:oMath>
      <w:r>
        <w:t xml:space="preserve"> </w:t>
      </w:r>
      <w:r>
        <w:t xml:space="preserve">can take the following values: 1 (monomer), 2, 3, 4, and 5 (tangle). Each of these values should be considered a lumped average of several adjacent lengths, such that, for example,</w:t>
      </w:r>
      <w:r>
        <w:t xml:space="preserve"> </w:t>
      </w:r>
      <m:oMath>
        <m:r>
          <m:t>m</m:t>
        </m:r>
        <m:r>
          <m:t>=</m:t>
        </m:r>
        <m:r>
          <m:t>4</m:t>
        </m:r>
      </m:oMath>
      <w:r>
        <w:t xml:space="preserve"> </w:t>
      </w:r>
      <w:r>
        <w:t xml:space="preserve">can be considered to be an average of oligomers of length</w:t>
      </w:r>
      <w:r>
        <w:t xml:space="preserve"> </w:t>
      </w:r>
      <m:oMath>
        <m:r>
          <m:t>30</m:t>
        </m:r>
      </m:oMath>
      <w:r>
        <w:t xml:space="preserve"> </w:t>
      </w:r>
      <w:r>
        <w:t xml:space="preserve">to</w:t>
      </w:r>
      <w:r>
        <w:t xml:space="preserve"> </w:t>
      </w:r>
      <m:oMath>
        <m:r>
          <m:t>40</m:t>
        </m:r>
      </m:oMath>
      <w:r>
        <w:t xml:space="preserve">.</w:t>
      </w:r>
    </w:p>
    <w:p>
      <w:pPr>
        <w:pStyle w:val="Heading2"/>
      </w:pPr>
      <w:bookmarkStart w:id="26" w:name="extracting-anatomic-connectivity-graph"/>
      <w:bookmarkEnd w:id="26"/>
      <w:r>
        <w:t xml:space="preserve">Extracting anatomic connectivity graph</w:t>
      </w:r>
    </w:p>
    <w:p>
      <w:pPr>
        <w:pStyle w:val="FirstParagraph"/>
      </w:pPr>
      <w:r>
        <w:t xml:space="preserve">Connectomes were extracted from a dataset of healthy subjects’ structural MRI (T1) and diffusion-righted MRI (dMRI) scans acquired under a previous study at our institution. This connectome cohort consisted of</w:t>
      </w:r>
      <w:r>
        <w:t xml:space="preserve"> </w:t>
      </w:r>
      <m:oMath>
        <m:r>
          <m:t>69</m:t>
        </m:r>
      </m:oMath>
      <w:r>
        <w:t xml:space="preserve"> </w:t>
      </w:r>
      <w:r>
        <w:t xml:space="preserve">subjects. The diffusion weighted MRI (dMRI) data were processed with a custom pre-processing connectomics pipeline following (Kuceyeski et al. 2013; Raj et al. 2015). This study design, where the connectivity graph is extracted from healthy rather than AD subjects, allows us to test the proposed graph-based model in a manner that is not affected by impaired anatomic connectivity frequently seen in AD patients. This processing pipeline is well established in our laboratory. In short, T1 images were normalized into MNI space and segmented using the Freesurfer software tool (Fischl et al. 2002) using their unified coregistration and segmentation scheme. Using the Desikan-Killarney atlas with</w:t>
      </w:r>
      <w:r>
        <w:t xml:space="preserve"> </w:t>
      </w:r>
      <m:oMath>
        <m:r>
          <m:t>86</m:t>
        </m:r>
      </m:oMath>
      <w:r>
        <w:t xml:space="preserve"> </w:t>
      </w:r>
      <w:r>
        <w:t xml:space="preserve">hand-labeled parcellated regions (Desikan et al. 2010), the subject-specific T1 images, after coregistration and segmentation, were parcellated into</w:t>
      </w:r>
      <w:r>
        <w:t xml:space="preserve"> </w:t>
      </w:r>
      <m:oMath>
        <m:r>
          <m:t>86</m:t>
        </m:r>
      </m:oMath>
      <w:r>
        <w:t xml:space="preserve"> </w:t>
      </w:r>
      <w:r>
        <w:t xml:space="preserve">regional volumes corresponding to</w:t>
      </w:r>
      <w:r>
        <w:t xml:space="preserve"> </w:t>
      </w:r>
      <m:oMath>
        <m:r>
          <m:t>68</m:t>
        </m:r>
      </m:oMath>
      <w:r>
        <w:t xml:space="preserve"> </w:t>
      </w:r>
      <w:r>
        <w:t xml:space="preserve">cortical and</w:t>
      </w:r>
      <w:r>
        <w:t xml:space="preserve"> </w:t>
      </w:r>
      <m:oMath>
        <m:r>
          <m:t>18</m:t>
        </m:r>
      </m:oMath>
      <w:r>
        <w:t xml:space="preserve"> </w:t>
      </w:r>
      <w:r>
        <w:t xml:space="preserve">subcortical structures covering the entire cerebral gray matter.</w:t>
      </w:r>
    </w:p>
    <w:p>
      <w:pPr>
        <w:pStyle w:val="BodyText"/>
      </w:pPr>
      <w:r>
        <w:t xml:space="preserve">The dMRI data was processed using spherical deconvolution to yield orientation distribution functions in each voxel. The resulting output was fed into a probabilistic fiber tracking algorithm, to produce fiber tracts in terms of streamlines. Details of the connectome data acquisition and processing pipeline can be found in (Kuceyeski et al. 2013). Each voxel at each region’s gray-white interface was seeded with</w:t>
      </w:r>
      <w:r>
        <w:t xml:space="preserve"> </w:t>
      </w:r>
      <m:oMath>
        <m:r>
          <m:t>100</m:t>
        </m:r>
      </m:oMath>
      <w:r>
        <w:t xml:space="preserve"> </w:t>
      </w:r>
      <w:r>
        <w:t xml:space="preserve">streamlines and the resulting tracts were traced probabilistically. A streamline count was kept for every pair of brain regions. The number of streamlines found to go from region</w:t>
      </w:r>
      <w:r>
        <w:t xml:space="preserve"> </w:t>
      </w:r>
      <m:oMath>
        <m:r>
          <m:t>i</m:t>
        </m:r>
      </m:oMath>
      <w:r>
        <w:t xml:space="preserve"> </w:t>
      </w:r>
      <w:r>
        <w:t xml:space="preserve">to region</w:t>
      </w:r>
      <w:r>
        <w:t xml:space="preserve"> </w:t>
      </w:r>
      <m:oMath>
        <m:r>
          <m:t>j</m:t>
        </m:r>
      </m:oMath>
      <w:r>
        <w:t xml:space="preserve"> </w:t>
      </w:r>
      <w:r>
        <w:t xml:space="preserve">and vice versa, were averaged and this value was recorded as the connectivity</w:t>
      </w:r>
      <w:r>
        <w:t xml:space="preserve"> </w:t>
      </w:r>
      <m:oMath>
        <m:sSub>
          <m:e>
            <m:r>
              <m:t>c</m:t>
            </m:r>
          </m:e>
          <m:sub>
            <m:r>
              <m:t>i</m:t>
            </m:r>
            <m:r>
              <m:t>,</m:t>
            </m:r>
            <m:r>
              <m:t>j</m:t>
            </m:r>
          </m:sub>
        </m:sSub>
      </m:oMath>
      <w:r>
        <w:t xml:space="preserve"> </w:t>
      </w:r>
      <w:r>
        <w:t xml:space="preserve">between the two regions. The full connectivity matrix was then formed as per</w:t>
      </w:r>
      <w:r>
        <w:t xml:space="preserve"> </w:t>
      </w:r>
      <m:oMath>
        <m:r>
          <m:t>C</m:t>
        </m:r>
        <m:r>
          <m:t>=</m:t>
        </m:r>
        <m:r>
          <m:t>{</m:t>
        </m:r>
        <m:sSub>
          <m:e>
            <m:r>
              <m:t>c</m:t>
            </m:r>
          </m:e>
          <m:sub>
            <m:r>
              <m:t>i</m:t>
            </m:r>
            <m:r>
              <m:t>,</m:t>
            </m:r>
            <m:r>
              <m:t>j</m:t>
            </m:r>
          </m:sub>
        </m:sSub>
        <m:r>
          <m:t>}</m:t>
        </m:r>
      </m:oMath>
      <w:r>
        <w:t xml:space="preserve">. Connectivity matrices from individual healthy subjects were found to be largely similar, and a mean over all subjects was taken in order to obtain a canonical healthy connectivity matrix</w:t>
      </w:r>
      <w:r>
        <w:t xml:space="preserve"> </w:t>
      </w:r>
      <m:oMath>
        <m:r>
          <m:t>C</m:t>
        </m:r>
      </m:oMath>
      <w:r>
        <w:t xml:space="preserve">, which was used in all subsequent analysis.</w:t>
      </w:r>
    </w:p>
    <w:p>
      <w:pPr>
        <w:pStyle w:val="Heading2"/>
      </w:pPr>
      <w:bookmarkStart w:id="27" w:name="ad-subject-scans"/>
      <w:bookmarkEnd w:id="27"/>
      <w:r>
        <w:t xml:space="preserve">AD subject scans</w:t>
      </w:r>
    </w:p>
    <w:p>
      <w:pPr>
        <w:pStyle w:val="FirstParagraph"/>
      </w:pPr>
      <w:r>
        <w:t xml:space="preserve">Imaging data used in this study was obtained from two sources: the public Alzheimer’s Disease Neuroimaging Initiative (ADNI); and a previously published study at Yonsei University, South Korea, whose details are contained elsewhere (Hanna et al. 2016). In brief: 128 consecutive patients (53 patients with probable AD dementia, 52 patients with amnestic mild cognitive impairment, aMCI; and 23 patients with nonamnestic MCI, naMCI) were prospectively recruited after clinical diagnosis at the Memory Disorder Clinic of Gangnam Severance Hospital. Sixty-seven age-matched cognitively normal volunteers were included as healthy controls (HCs). All participants underwent 2 PET scans (</w:t>
      </w:r>
      <w:r>
        <w:t xml:space="preserve">18F</w:t>
      </w:r>
      <w:r>
        <w:t xml:space="preserve">-florbetaben for</w:t>
      </w:r>
      <w:r>
        <w:t xml:space="preserve"> </w:t>
      </w:r>
      <m:oMath>
        <m:r>
          <m:t>A</m:t>
        </m:r>
        <m:r>
          <m:t>β</m:t>
        </m:r>
      </m:oMath>
      <w:r>
        <w:t xml:space="preserve"> </w:t>
      </w:r>
      <w:r>
        <w:t xml:space="preserve">and</w:t>
      </w:r>
      <w:r>
        <w:t xml:space="preserve"> </w:t>
      </w:r>
      <w:r>
        <w:t xml:space="preserve">18F</w:t>
      </w:r>
      <w:r>
        <w:t xml:space="preserve">-</w:t>
      </w:r>
      <w:r>
        <w:t xml:space="preserve">AV1451</w:t>
      </w:r>
      <w:r>
        <w:t xml:space="preserve"> </w:t>
      </w:r>
      <w:r>
        <w:t xml:space="preserve">for</w:t>
      </w:r>
      <w:r>
        <w:t xml:space="preserve"> </w:t>
      </w:r>
      <m:oMath>
        <m:r>
          <m:t>τ</m:t>
        </m:r>
      </m:oMath>
      <w:r>
        <w:t xml:space="preserve"> </w:t>
      </w:r>
      <w:r>
        <w:t xml:space="preserve">pathology), high resolution T1-weighted brain MRI, and neuropsychological tests. This study was approved by the institutional review board of the Gangnam Severance Hospital, and written informed consent was obtained from all participants. All PET images were acquired using a Biograph mCT PET/computed tomography (CT) scanner (Siemens Medical Solutions, Malvern, PA). Subjects were intravenously injected with 281.2MBq of</w:t>
      </w:r>
      <w:r>
        <w:t xml:space="preserve"> </w:t>
      </w:r>
      <w:r>
        <w:t xml:space="preserve">AV1451</w:t>
      </w:r>
      <w:r>
        <w:t xml:space="preserve"> </w:t>
      </w:r>
      <w:r>
        <w:t xml:space="preserve">for tau PET and 297.9MBq of florbetaben for amyloid PET. Prior to the PET scans, a head holder was applied to minimize head motion and brain CT images were acquired for attenuation correction. At</w:t>
      </w:r>
      <w:r>
        <w:t xml:space="preserve"> </w:t>
      </w:r>
      <m:oMath>
        <m:r>
          <m:t>80</m:t>
        </m:r>
      </m:oMath>
      <w:r>
        <w:t xml:space="preserve"> </w:t>
      </w:r>
      <w:r>
        <w:t xml:space="preserve">minutes after the injection of</w:t>
      </w:r>
      <w:r>
        <w:t xml:space="preserve"> </w:t>
      </w:r>
      <w:r>
        <w:t xml:space="preserve">AV1451</w:t>
      </w:r>
      <w:r>
        <w:t xml:space="preserve"> </w:t>
      </w:r>
      <w:r>
        <w:t xml:space="preserve">and at</w:t>
      </w:r>
      <w:r>
        <w:t xml:space="preserve"> </w:t>
      </w:r>
      <m:oMath>
        <m:r>
          <m:t>90</m:t>
        </m:r>
      </m:oMath>
      <w:r>
        <w:t xml:space="preserve"> </w:t>
      </w:r>
      <w:r>
        <w:t xml:space="preserve">minutes after the injection of florbetaben, PET images were acquired for</w:t>
      </w:r>
      <w:r>
        <w:t xml:space="preserve"> </w:t>
      </w:r>
      <m:oMath>
        <m:r>
          <m:t>20</m:t>
        </m:r>
      </m:oMath>
      <w:r>
        <w:t xml:space="preserve"> </w:t>
      </w:r>
      <w:r>
        <w:t xml:space="preserve">minutes. After correcting for attenuation, scatter, and decay, PET images were finally reconstructed with the</w:t>
      </w:r>
      <w:r>
        <w:t xml:space="preserve"> </w:t>
      </w:r>
      <w:r>
        <w:t xml:space="preserve">ordered subsets</w:t>
      </w:r>
      <w:r>
        <w:t xml:space="preserve"> </w:t>
      </w:r>
      <w:r>
        <w:t xml:space="preserve">expectation maximization algorithm in a</w:t>
      </w:r>
      <w:r>
        <w:t xml:space="preserve"> </w:t>
      </w:r>
      <m:oMath>
        <m:r>
          <m:t>256</m:t>
        </m:r>
        <m:r>
          <m:t>×</m:t>
        </m:r>
        <m:r>
          <m:t>256</m:t>
        </m:r>
        <m:r>
          <m:t>×</m:t>
        </m:r>
        <m:r>
          <m:t>223</m:t>
        </m:r>
      </m:oMath>
      <w:r>
        <w:t xml:space="preserve"> </w:t>
      </w:r>
      <w:r>
        <w:t xml:space="preserve">matrix with</w:t>
      </w:r>
      <w:r>
        <w:t xml:space="preserve"> </w:t>
      </w:r>
      <m:oMath>
        <m:r>
          <m:t>1.59</m:t>
        </m:r>
        <m:r>
          <m:t>×</m:t>
        </m:r>
        <m:r>
          <m:t>1.59</m:t>
        </m:r>
        <m:r>
          <m:t>×</m:t>
        </m:r>
        <m:r>
          <m:t>1</m:t>
        </m:r>
      </m:oMath>
      <w:r>
        <w:t xml:space="preserve"> </w:t>
      </w:r>
      <w:r>
        <w:t xml:space="preserve">mm voxel size. Axial</w:t>
      </w:r>
      <w:r>
        <w:t xml:space="preserve"> </w:t>
      </w:r>
      <w:r>
        <w:t xml:space="preserve">T1</w:t>
      </w:r>
      <w:r>
        <w:t xml:space="preserve">-weighted brain magnetic resonance (MR) images were obtained with 3D spoiled gradient recalled sequences: repetition time</w:t>
      </w:r>
      <w:r>
        <w:t xml:space="preserve"> </w:t>
      </w:r>
      <m:oMath>
        <m:r>
          <m:t>8.28</m:t>
        </m:r>
      </m:oMath>
      <w:r>
        <w:t xml:space="preserve"> </w:t>
      </w:r>
      <w:r>
        <w:t xml:space="preserve">ms, echo time</w:t>
      </w:r>
      <w:r>
        <w:t xml:space="preserve"> </w:t>
      </w:r>
      <m:oMath>
        <m:r>
          <m:t>1.6</m:t>
        </m:r>
      </m:oMath>
      <w:r>
        <w:t xml:space="preserve"> </w:t>
      </w:r>
      <w:r>
        <w:t xml:space="preserve">to</w:t>
      </w:r>
      <w:r>
        <w:t xml:space="preserve"> </w:t>
      </w:r>
      <m:oMath>
        <m:r>
          <m:t>11.0</m:t>
        </m:r>
      </m:oMath>
      <w:r>
        <w:t xml:space="preserve"> </w:t>
      </w:r>
      <w:r>
        <w:t xml:space="preserve">ms, flip angle</w:t>
      </w:r>
      <w:r>
        <w:t xml:space="preserve"> </w:t>
      </w:r>
      <m:oMath>
        <m:r>
          <m:t>20</m:t>
        </m:r>
      </m:oMath>
      <w:r>
        <w:t xml:space="preserve">, matrix size</w:t>
      </w:r>
      <w:r>
        <w:t xml:space="preserve"> </w:t>
      </w:r>
      <m:oMath>
        <m:r>
          <m:t>512</m:t>
        </m:r>
        <m:r>
          <m:t>×</m:t>
        </m:r>
        <m:r>
          <m:t>512</m:t>
        </m:r>
      </m:oMath>
      <w:r>
        <w:t xml:space="preserve">, voxel size</w:t>
      </w:r>
      <w:r>
        <w:t xml:space="preserve"> </w:t>
      </w:r>
      <m:oMath>
        <m:r>
          <m:t>0.43</m:t>
        </m:r>
        <m:r>
          <m:t>×</m:t>
        </m:r>
        <m:r>
          <m:t>0.43</m:t>
        </m:r>
        <m:r>
          <m:t>×</m:t>
        </m:r>
        <m:r>
          <m:t>1</m:t>
        </m:r>
      </m:oMath>
      <w:r>
        <w:t xml:space="preserve"> </w:t>
      </w:r>
      <w:r>
        <w:t xml:space="preserve">mm in a</w:t>
      </w:r>
      <w:r>
        <w:t xml:space="preserve"> </w:t>
      </w:r>
      <m:oMath>
        <m:r>
          <m:t>3</m:t>
        </m:r>
      </m:oMath>
      <w:r>
        <w:t xml:space="preserve">T MR scanner (Discovery MR750; GE Medical Systems, Milwaukee, WI).</w:t>
      </w:r>
    </w:p>
    <w:p>
      <w:pPr>
        <w:pStyle w:val="BodyText"/>
      </w:pPr>
      <w:r>
        <w:t xml:space="preserve">ADNI is a public-private private, large multisite longitudinal study with the goal of tracking Alzheimer?s disease biomarkers and accelerate prevention and treatment of the disease. The ADNI data used here consisted of early and late MCI (EMCI and LMCI, resp.) and AD groups, and included all ADNI 2 and ADNI GO subjects from early 2011 to mid–2015. Demographics and imaging details are contained in our previous publication (Torok et al. 2018). MRI-derived group atrophy patterns were obtained for each of the EMCI,LMCI,AD groups in the ADNI study. After Freesurfer processing and quality checks, a total of</w:t>
      </w:r>
      <w:r>
        <w:t xml:space="preserve"> </w:t>
      </w:r>
      <m:oMath>
        <m:r>
          <m:t>117</m:t>
        </m:r>
      </m:oMath>
      <w:r>
        <w:t xml:space="preserve"> </w:t>
      </w:r>
      <w:r>
        <w:t xml:space="preserve">AD subjects,</w:t>
      </w:r>
      <w:r>
        <w:t xml:space="preserve"> </w:t>
      </w:r>
      <m:oMath>
        <m:r>
          <m:t>156</m:t>
        </m:r>
      </m:oMath>
      <w:r>
        <w:t xml:space="preserve"> </w:t>
      </w:r>
      <w:r>
        <w:t xml:space="preserve">LMCI and</w:t>
      </w:r>
      <w:r>
        <w:t xml:space="preserve"> </w:t>
      </w:r>
      <m:oMath>
        <m:r>
          <m:t>148</m:t>
        </m:r>
      </m:oMath>
      <w:r>
        <w:t xml:space="preserve"> </w:t>
      </w:r>
      <w:r>
        <w:t xml:space="preserve">EMCI subjects were available for this study.</w:t>
      </w:r>
    </w:p>
    <w:p>
      <w:pPr>
        <w:pStyle w:val="Heading2"/>
      </w:pPr>
      <w:bookmarkStart w:id="28" w:name="regional-volumes-and-pet-tracer-uptake"/>
      <w:bookmarkEnd w:id="28"/>
      <w:r>
        <w:t xml:space="preserve">Regional volumes and PET tracer uptake</w:t>
      </w:r>
    </w:p>
    <w:p>
      <w:pPr>
        <w:pStyle w:val="FirstParagraph"/>
      </w:pPr>
      <w:r>
        <w:t xml:space="preserve">Individual AD and MCI subjects’ T1-MRI scans were processed using the Freesurfer tool to obtain the</w:t>
      </w:r>
      <w:r>
        <w:t xml:space="preserve"> </w:t>
      </w:r>
      <m:oMath>
        <m:r>
          <m:t>86</m:t>
        </m:r>
      </m:oMath>
      <w:r>
        <w:t xml:space="preserve">-region gray matter parcellation described above. From each parcellated region, regional volume (number of voxels) and thickness (number of vertices) was recorded. Subjects’ AV1451-PET data, an empirical measurement of regional</w:t>
      </w:r>
      <w:r>
        <w:t xml:space="preserve"> </w:t>
      </w:r>
      <m:oMath>
        <m:r>
          <m:t>τ</m:t>
        </m:r>
      </m:oMath>
      <w:r>
        <w:t xml:space="preserve">, were processed in the same way, as follows. PET images were resampled to uniform voxel resolution, normalized to the same common space as the Desikan atlas, and the latter’s regional parcellations applied to the former. For each region, the average of voxel-wise PET uptake was recorded. Regional PET uptake values were divided by cerebellar PET uptake value in order to normalize each subject’s PET uptake.</w:t>
      </w:r>
    </w:p>
    <w:p>
      <w:pPr>
        <w:pStyle w:val="Heading2"/>
      </w:pPr>
      <w:bookmarkStart w:id="29" w:name="statistical-analysis-and-model-validation-on-empirical-neuroimaging-data"/>
      <w:bookmarkEnd w:id="29"/>
      <w:r>
        <w:t xml:space="preserve">Statistical analysis and model validation on empirical neuroimaging data</w:t>
      </w:r>
    </w:p>
    <w:p>
      <w:pPr>
        <w:pStyle w:val="FirstParagraph"/>
      </w:pPr>
      <w:r>
        <w:t xml:space="preserve">We applied the AND model on the</w:t>
      </w:r>
      <w:r>
        <w:t xml:space="preserve"> </w:t>
      </w:r>
      <m:oMath>
        <m:r>
          <m:t>86</m:t>
        </m:r>
        <m:r>
          <m:t>×</m:t>
        </m:r>
        <m:r>
          <m:t>86</m:t>
        </m:r>
      </m:oMath>
      <w:r>
        <w:t xml:space="preserve"> </w:t>
      </w:r>
      <w:r>
        <w:t xml:space="preserve">connectivity matrix described above. The starting pattern of tau was set to zero everywhere except a single</w:t>
      </w:r>
      <w:r>
        <w:t xml:space="preserve"> </w:t>
      </w:r>
      <w:r>
        <w:t xml:space="preserve">“</w:t>
      </w:r>
      <w:r>
        <w:t xml:space="preserve">seed</w:t>
      </w:r>
      <w:r>
        <w:t xml:space="preserve">”</w:t>
      </w:r>
      <w:r>
        <w:t xml:space="preserve"> </w:t>
      </w:r>
      <w:r>
        <w:t xml:space="preserve">region. AND model was numerically solved using MATLAB’s</w:t>
      </w:r>
      <w:r>
        <w:t xml:space="preserve"> </w:t>
      </w:r>
      <w:r>
        <w:rPr>
          <w:i/>
        </w:rPr>
        <w:t xml:space="preserve">ode45</w:t>
      </w:r>
      <w:r>
        <w:t xml:space="preserve"> </w:t>
      </w:r>
      <w:r>
        <w:t xml:space="preserve">solver, which implements a numerical integration technique using Euler iterations of order (4,5). The time increment was set at</w:t>
      </w:r>
      <w:r>
        <w:t xml:space="preserve"> </w:t>
      </w:r>
      <m:oMath>
        <m:r>
          <m:t>0.01</m:t>
        </m:r>
      </m:oMath>
      <w:r>
        <w:t xml:space="preserve">. The simulation data were compared against empirical imaging-derived regional data (Korea cohort for tau-PET and ADNI cohort for atrophy), each of size</w:t>
      </w:r>
      <w:r>
        <w:t xml:space="preserve"> </w:t>
      </w:r>
      <m:oMath>
        <m:r>
          <m:t>86</m:t>
        </m:r>
        <m:r>
          <m:t>x</m:t>
        </m:r>
        <m:r>
          <m:t>1</m:t>
        </m:r>
      </m:oMath>
      <w:r>
        <w:t xml:space="preserve">. The metric of validation was the Pearson’s correlation statistic</w:t>
      </w:r>
      <w:r>
        <w:t xml:space="preserve"> </w:t>
      </w:r>
      <m:oMath>
        <m:r>
          <m:t>R</m:t>
        </m:r>
      </m:oMath>
      <w:r>
        <w:t xml:space="preserve"> </w:t>
      </w:r>
      <w:r>
        <w:t xml:space="preserve">and its associated p-value. The AND model would be considered validated if, for some combination of model parameters, it is strongly correlated with regional pattern of group atrophy and/or tau uptake, at significance of</w:t>
      </w:r>
      <w:r>
        <w:t xml:space="preserve"> </w:t>
      </w:r>
      <m:oMath>
        <m:r>
          <m:t>p</m:t>
        </m:r>
        <m:r>
          <m:t>&lt;</m:t>
        </m:r>
        <m:r>
          <m:t>0.05</m:t>
        </m:r>
      </m:oMath>
      <w:r>
        <w:t xml:space="preserve">. Since the current thrust is on model development, minute or rigorous parameter fitting was not attempted. Instead, we selected model parameters by a simple grid search technique, and evaluated the AND model at all model time values, recording only the best Pearson’s R over model time. Our goal was to show that there exists a reasonable range of parameter choices and other model choices that results in strong match to empirical data. For instance, we evaluated several formulations of how the kinetics of protein aggregation and network diffusion varies according to oligomer size, i.e.</w:t>
      </w:r>
      <w:r>
        <w:t xml:space="preserve"> </w:t>
      </w:r>
      <m:oMath>
        <m:sSub>
          <m:e>
            <m:r>
              <m:t>d</m:t>
            </m:r>
          </m:e>
          <m:sub>
            <m:r>
              <m:t>m</m:t>
            </m:r>
          </m:sub>
        </m:sSub>
      </m:oMath>
      <w:r>
        <w:t xml:space="preserve"> </w:t>
      </w:r>
      <w:r>
        <w:t xml:space="preserve">and</w:t>
      </w:r>
      <w:r>
        <w:t xml:space="preserve"> </w:t>
      </w:r>
      <m:oMath>
        <m:sSub>
          <m:e>
            <m:r>
              <m:t>a</m:t>
            </m:r>
          </m:e>
          <m:sub>
            <m:r>
              <m:t>m</m:t>
            </m:r>
            <m:r>
              <m:t>,</m:t>
            </m:r>
            <m:r>
              <m:t>j</m:t>
            </m:r>
          </m:sub>
        </m:sSub>
      </m:oMath>
      <w:r>
        <w:t xml:space="preserve"> </w:t>
      </w:r>
      <w:r>
        <w:t xml:space="preserve">defined above, giving</w:t>
      </w:r>
      <w:r>
        <w:t xml:space="preserve"> </w:t>
      </w:r>
      <m:oMath>
        <m:r>
          <m:t>4</m:t>
        </m:r>
      </m:oMath>
      <w:r>
        <w:t xml:space="preserve"> </w:t>
      </w:r>
      <w:r>
        <w:t xml:space="preserve">possible models. We ran model simulations across these various aspects and over a large range of model parameters. Without further detailed reaction kinetic data these formulations must be considered as heuristic choices at this stage.</w:t>
      </w:r>
    </w:p>
    <w:p>
      <w:pPr>
        <w:pStyle w:val="Heading1"/>
      </w:pPr>
      <w:bookmarkStart w:id="30" w:name="results"/>
      <w:bookmarkEnd w:id="30"/>
      <w:r>
        <w:t xml:space="preserve">Results</w:t>
      </w:r>
    </w:p>
    <w:p>
      <w:pPr>
        <w:pStyle w:val="FirstParagraph"/>
      </w:pPr>
      <w:r>
        <w:t xml:space="preserve">The proposed aggregation-network diffusion (AND) model combines previously available but disparate ideas. Therefore, in light of its novelty, first we prove various results involving the AND theory which will demonstrate that the proposed model has various desirable properties like existence and uniqueness of solutions, and boundedness of their values. These results are contained in Supplementary Information. In the following validation results, our primary validation metric - a similarity measure between model and empirical data - is the Pearson’s correlation R-statistic, unless otherwise stated.</w:t>
      </w:r>
    </w:p>
    <w:p>
      <w:pPr>
        <w:pStyle w:val="BodyText"/>
      </w:pPr>
      <w:r>
        <w:t xml:space="preserve">Figure ??? show the temporal evolution of</w:t>
      </w:r>
      <w:r>
        <w:t xml:space="preserve"> </w:t>
      </w:r>
      <m:oMath>
        <m:r>
          <m:t>τ</m:t>
        </m:r>
      </m:oMath>
      <w:r>
        <w:t xml:space="preserve"> </w:t>
      </w:r>
      <w:r>
        <w:t xml:space="preserve">oligomers over time, totaled over the entire brain, for oligomers of length</w:t>
      </w:r>
      <w:r>
        <w:t xml:space="preserve"> </w:t>
      </w:r>
      <m:oMath>
        <m:r>
          <m:t>m</m:t>
        </m:r>
        <m:r>
          <m:t>=</m:t>
        </m:r>
        <m:r>
          <m:t>1</m:t>
        </m:r>
        <m:r>
          <m:t>,</m:t>
        </m:r>
        <m:r>
          <m:t>2</m:t>
        </m:r>
        <m:r>
          <m:t>,</m:t>
        </m:r>
        <m:r>
          <m:t>3</m:t>
        </m:r>
        <m:r>
          <m:t>,</m:t>
        </m:r>
        <m:r>
          <m:t>4</m:t>
        </m:r>
        <m:r>
          <m:t>,</m:t>
        </m:r>
        <m:r>
          <m:t>5</m:t>
        </m:r>
      </m:oMath>
      <w:r>
        <w:t xml:space="preserve">. Please note that</w:t>
      </w:r>
      <w:r>
        <w:t xml:space="preserve"> </w:t>
      </w:r>
      <m:oMath>
        <m:r>
          <m:t>M</m:t>
        </m:r>
        <m:r>
          <m:t>=</m:t>
        </m:r>
        <m:r>
          <m:t>5</m:t>
        </m:r>
      </m:oMath>
      <w:r>
        <w:t xml:space="preserve"> </w:t>
      </w:r>
      <w:r>
        <w:t xml:space="preserve">is considered</w:t>
      </w:r>
      <w:r>
        <w:t xml:space="preserve"> </w:t>
      </w:r>
      <w:r>
        <w:t xml:space="preserve">“</w:t>
      </w:r>
      <w:r>
        <w:t xml:space="preserve">tangle</w:t>
      </w:r>
      <w:r>
        <w:t xml:space="preserve">”</w:t>
      </w:r>
      <w:r>
        <w:t xml:space="preserve"> </w:t>
      </w:r>
      <w:r>
        <w:t xml:space="preserve">and does not further interact with any other oligomeric species. Recall also that only</w:t>
      </w:r>
      <w:r>
        <w:t xml:space="preserve"> </w:t>
      </w:r>
      <m:oMath>
        <m:r>
          <m:t>m</m:t>
        </m:r>
        <m:r>
          <m:t>=</m:t>
        </m:r>
        <m:r>
          <m:t>1</m:t>
        </m:r>
      </m:oMath>
      <w:r>
        <w:t xml:space="preserve"> </w:t>
      </w:r>
      <w:r>
        <w:t xml:space="preserve">(monomer) are assumed to be produced at local sites, here, the entorhinal cortex. The left panel of the figure shows the evolution of</w:t>
      </w:r>
      <w:r>
        <w:t xml:space="preserve"> </w:t>
      </w:r>
      <m:oMath>
        <m:sSub>
          <m:e>
            <m:r>
              <m:t>τ</m:t>
            </m:r>
          </m:e>
          <m:sub>
            <m:r>
              <m:t>m</m:t>
            </m:r>
          </m:sub>
        </m:sSub>
        <m:r>
          <m:t>,</m:t>
        </m:r>
        <m:r>
          <m:t>m</m:t>
        </m:r>
        <m:r>
          <m:t>=</m:t>
        </m:r>
        <m:r>
          <m:t>1</m:t>
        </m:r>
        <m:r>
          <m:t>…</m:t>
        </m:r>
        <m:r>
          <m:t>5</m:t>
        </m:r>
      </m:oMath>
      <w:r>
        <w:t xml:space="preserve"> </w:t>
      </w:r>
      <w:r>
        <w:t xml:space="preserve">oligomers over model time. Although the model time was hand-tweaked in order to correspond roughly to the 10-15 year time span of typical AD cases, its units should be considered arbitrary in absence of a calibration strategy that can in the future convert it to the unit of years. As expected, the monomer levels are the first to rise (blue curve), followed by oligomers of length</w:t>
      </w:r>
      <w:r>
        <w:t xml:space="preserve"> </w:t>
      </w:r>
      <m:oMath>
        <m:r>
          <m:t>m</m:t>
        </m:r>
        <m:r>
          <m:t>=</m:t>
        </m:r>
        <m:r>
          <m:t>2</m:t>
        </m:r>
        <m:r>
          <m:t>,</m:t>
        </m:r>
        <m:r>
          <m:t>3</m:t>
        </m:r>
        <m:r>
          <m:t>,</m:t>
        </m:r>
        <m:r>
          <m:t>4</m:t>
        </m:r>
      </m:oMath>
      <w:r>
        <w:t xml:space="preserve">. Each monomeric and oligomeric species exhibits a distinct plateau effect, and eventually begins to decline. The decline is due to two factors. First, the monomer production itself declines as given by the Gamma-shaped production function</w:t>
      </w:r>
      <w:r>
        <w:t xml:space="preserve"> </w:t>
      </w:r>
      <m:oMath>
        <m:sSub>
          <m:e>
            <m:r>
              <m:t>f</m:t>
            </m:r>
          </m:e>
          <m:sub>
            <m:r>
              <m:t>τ</m:t>
            </m:r>
          </m:sub>
        </m:sSub>
        <m:r>
          <m:t>(</m:t>
        </m:r>
        <m:r>
          <m:t>t</m:t>
        </m:r>
        <m:r>
          <m:t>)</m:t>
        </m:r>
      </m:oMath>
      <w:r>
        <w:t xml:space="preserve">, which accounts for the fact that eventually misfolding is limited by the availability of intact protein in tissue and the loss of neurons, both of which serve to limit the available pool of cleavable protein. Second, as oligomers aggregate via Smoluchowski processes, larger oligomers form progressively. Eventually, tangles form at</w:t>
      </w:r>
      <w:r>
        <w:t xml:space="preserve"> </w:t>
      </w:r>
      <m:oMath>
        <m:r>
          <m:t>m</m:t>
        </m:r>
        <m:r>
          <m:t>=</m:t>
        </m:r>
        <m:r>
          <m:t>5</m:t>
        </m:r>
      </m:oMath>
      <w:r>
        <w:t xml:space="preserve">, which takes active oligomers out of circulation. This is why the tangle species shows a monotonic increase (green curve), without undergoing reduction at any stage. These aspects closely track the empirical data currently available on CSF-derived total</w:t>
      </w:r>
      <w:r>
        <w:t xml:space="preserve"> </w:t>
      </w:r>
      <m:oMath>
        <m:r>
          <m:t>τ</m:t>
        </m:r>
      </m:oMath>
      <w:r>
        <w:t xml:space="preserve"> </w:t>
      </w:r>
      <w:r>
        <w:t xml:space="preserve">(Trojanowski et al. 2010;</w:t>
      </w:r>
      <w:r>
        <w:t xml:space="preserve"> </w:t>
      </w:r>
      <w:r>
        <w:t xml:space="preserve">Jack Jr</w:t>
      </w:r>
      <w:r>
        <w:t xml:space="preserve"> </w:t>
      </w:r>
      <w:r>
        <w:t xml:space="preserve">et al. 2010; Dickerson and Wolk 2013).</w:t>
      </w:r>
    </w:p>
    <w:p>
      <w:pPr>
        <w:pStyle w:val="BodyText"/>
      </w:pPr>
      <w:r>
        <w:t xml:space="preserve">In the middle panel, we show the similarity measure computed between the regional distribution of each oligomer and the empirical regional</w:t>
      </w:r>
      <w:r>
        <w:t xml:space="preserve"> </w:t>
      </w:r>
      <m:oMath>
        <m:r>
          <m:t>τ</m:t>
        </m:r>
      </m:oMath>
      <w:r>
        <w:t xml:space="preserve"> </w:t>
      </w:r>
      <w:r>
        <w:t xml:space="preserve">pattern obtained from the Korea study. As described in Methods section, the similarity score is the Pearson correlation between the model vector at model time</w:t>
      </w:r>
      <w:r>
        <w:t xml:space="preserve"> </w:t>
      </w:r>
      <m:oMath>
        <m:r>
          <m:t>t</m:t>
        </m:r>
      </m:oMath>
      <w:r>
        <w:t xml:space="preserve"> </w:t>
      </w:r>
      <w:r>
        <w:t xml:space="preserve">and the (static) empirical AV1451-PET uptake vector. In this manner, the similarity score is independent of the overall scale of both the model and the empirical uptake value. Each curve represents a single oligomer in the AND model, and shows a peak in similarity at an intermediate time between</w:t>
      </w:r>
      <w:r>
        <w:t xml:space="preserve"> </w:t>
      </w:r>
      <m:oMath>
        <m:r>
          <m:t>t</m:t>
        </m:r>
        <m:r>
          <m:t>=</m:t>
        </m:r>
        <m:r>
          <m:t>0</m:t>
        </m:r>
      </m:oMath>
      <w:r>
        <w:t xml:space="preserve"> </w:t>
      </w:r>
      <w:r>
        <w:t xml:space="preserve">and</w:t>
      </w:r>
      <w:r>
        <w:t xml:space="preserve"> </w:t>
      </w:r>
      <m:oMath>
        <m:r>
          <m:t>t</m:t>
        </m:r>
        <m:r>
          <m:t>=</m:t>
        </m:r>
        <m:sSub>
          <m:e>
            <m:r>
              <m:t>t</m:t>
            </m:r>
          </m:e>
          <m:sub>
            <m:r>
              <m:t>m</m:t>
            </m:r>
            <m:r>
              <m:t>a</m:t>
            </m:r>
            <m:r>
              <m:t>x</m:t>
            </m:r>
          </m:sub>
        </m:sSub>
        <m:r>
          <m:t>=</m:t>
        </m:r>
        <m:r>
          <m:t>10</m:t>
        </m:r>
      </m:oMath>
      <w:r>
        <w:t xml:space="preserve">. The temporal sequencing of peak similarity strongly follows the sequence of oligomer length, such that monomer (</w:t>
      </w:r>
      <m:oMath>
        <m:r>
          <m:t>m</m:t>
        </m:r>
        <m:r>
          <m:t>=</m:t>
        </m:r>
        <m:r>
          <m:t>1</m:t>
        </m:r>
      </m:oMath>
      <w:r>
        <w:t xml:space="preserve">) is the first to peak, followed by</w:t>
      </w:r>
      <w:r>
        <w:t xml:space="preserve"> </w:t>
      </w:r>
      <m:oMath>
        <m:r>
          <m:t>m</m:t>
        </m:r>
        <m:r>
          <m:t>=</m:t>
        </m:r>
        <m:r>
          <m:t>2</m:t>
        </m:r>
        <m:r>
          <m:t>,</m:t>
        </m:r>
        <m:r>
          <m:t>3</m:t>
        </m:r>
        <m:r>
          <m:t>,</m:t>
        </m:r>
        <m:r>
          <m:t>4</m:t>
        </m:r>
        <m:r>
          <m:t>,</m:t>
        </m:r>
        <m:r>
          <m:t>5</m:t>
        </m:r>
      </m:oMath>
      <w:r>
        <w:t xml:space="preserve">, in order. The tangle curve (green) has a distinct shape in comparison to the oligomer curves, confirming that the behavior of the end product of Smoluchowski aggregation should have different dynamics than intermediate oligomers. The empirical group used here is the aMCI group in the Korea study, chosen because it has the best match with the model (see next figure). Clinically, there are reasons to believe that this stage, immediately before full-blown AD, should be a suitable empirical group for</w:t>
      </w:r>
      <w:r>
        <w:t xml:space="preserve"> </w:t>
      </w:r>
      <m:oMath>
        <m:r>
          <m:t>τ</m:t>
        </m:r>
      </m:oMath>
      <w:r>
        <w:t xml:space="preserve"> </w:t>
      </w:r>
      <w:r>
        <w:t xml:space="preserve">pathology comparisons; see below. In the right panel, similarity curves are shown for the comparison of the model against regional atrophy of the ADNI cohort, this time on the LMCI group. Curves for AD groups in both studies give similar results and are not shown.</w:t>
      </w:r>
    </w:p>
    <w:p>
      <w:pPr>
        <w:pStyle w:val="FigureWithCaption"/>
      </w:pPr>
      <w:r>
        <w:drawing>
          <wp:inline>
            <wp:extent cx="3810000" cy="2540000"/>
            <wp:effectExtent b="0" l="0" r="0" t="0"/>
            <wp:docPr descr="Left: Temporal evolution of \tau oligomers over time, totaled over the entire brain, for oligomers of length m = 1, 2, 3, 4, 5. As designed, monomers are the first to rise from zero, slowly giving way to higher oligomers. Tangles (m=5 here) are the last to develop, and last to reach steady state or fall back. The temporal sequencing of peak deposition clearly and strongly follows the sequence of oligomer length: m=1,2,3,45. Middle: Similarity index (Pearson’s R) of the AND model against Korea study’s empirical aMCI \tau distribution, over model time t. Right: Similarity index of the AND model against ANDI study’s empirical LMCI atrophy distribution, over model time t. " title="" id="1" name="Picture"/>
            <a:graphic>
              <a:graphicData uri="http://schemas.openxmlformats.org/drawingml/2006/picture">
                <pic:pic>
                  <pic:nvPicPr>
                    <pic:cNvPr descr="figures/fig1.tif" id="0" name="Picture"/>
                    <pic:cNvPicPr>
                      <a:picLocks noChangeArrowheads="1" noChangeAspect="1"/>
                    </pic:cNvPicPr>
                  </pic:nvPicPr>
                  <pic:blipFill>
                    <a:blip r:embed="rId31"/>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Left: Temporal evolution of</w:t>
      </w:r>
      <w:r>
        <w:t xml:space="preserve"> </w:t>
      </w:r>
      <m:oMath>
        <m:r>
          <m:t>τ</m:t>
        </m:r>
      </m:oMath>
      <w:r>
        <w:t xml:space="preserve"> </w:t>
      </w:r>
      <w:r>
        <w:t xml:space="preserve">oligomers over time, totaled over the entire brain, for oligomers of length</w:t>
      </w:r>
      <w:r>
        <w:t xml:space="preserve"> </w:t>
      </w:r>
      <m:oMath>
        <m:r>
          <m:t>m</m:t>
        </m:r>
        <m:r>
          <m:t>=</m:t>
        </m:r>
        <m:r>
          <m:t>1</m:t>
        </m:r>
        <m:r>
          <m:t>,</m:t>
        </m:r>
        <m:r>
          <m:t>2</m:t>
        </m:r>
        <m:r>
          <m:t>,</m:t>
        </m:r>
        <m:r>
          <m:t>3</m:t>
        </m:r>
        <m:r>
          <m:t>,</m:t>
        </m:r>
        <m:r>
          <m:t>4</m:t>
        </m:r>
        <m:r>
          <m:t>,</m:t>
        </m:r>
        <m:r>
          <m:t>5</m:t>
        </m:r>
      </m:oMath>
      <w:r>
        <w:t xml:space="preserve">. As designed, monomers are the first to rise from zero, slowly giving way to higher oligomers. Tangles (</w:t>
      </w:r>
      <m:oMath>
        <m:r>
          <m:t>m</m:t>
        </m:r>
        <m:r>
          <m:t>=</m:t>
        </m:r>
        <m:r>
          <m:t>5</m:t>
        </m:r>
      </m:oMath>
      <w:r>
        <w:t xml:space="preserve"> </w:t>
      </w:r>
      <w:r>
        <w:t xml:space="preserve">here) are the last to develop, and last to reach steady state or fall back. The temporal sequencing of peak deposition clearly and strongly follows the sequence of oligomer length:</w:t>
      </w:r>
      <w:r>
        <w:t xml:space="preserve"> </w:t>
      </w:r>
      <m:oMath>
        <m:r>
          <m:t>m</m:t>
        </m:r>
        <m:r>
          <m:t>=</m:t>
        </m:r>
        <m:r>
          <m:t>1</m:t>
        </m:r>
        <m:r>
          <m:t>,</m:t>
        </m:r>
        <m:r>
          <m:t>2</m:t>
        </m:r>
        <m:r>
          <m:t>,</m:t>
        </m:r>
        <m:r>
          <m:t>3</m:t>
        </m:r>
        <m:r>
          <m:t>,</m:t>
        </m:r>
        <m:r>
          <m:t>45</m:t>
        </m:r>
      </m:oMath>
      <w:r>
        <w:t xml:space="preserve">. Middle: Similarity index (Pearson’s R) of the AND model against Korea study’s empirical aMCI</w:t>
      </w:r>
      <w:r>
        <w:t xml:space="preserve"> </w:t>
      </w:r>
      <m:oMath>
        <m:r>
          <m:t>τ</m:t>
        </m:r>
      </m:oMath>
      <w:r>
        <w:t xml:space="preserve"> </w:t>
      </w:r>
      <w:r>
        <w:t xml:space="preserve">distribution, over model time</w:t>
      </w:r>
      <w:r>
        <w:t xml:space="preserve"> </w:t>
      </w:r>
      <m:oMath>
        <m:r>
          <m:t>t</m:t>
        </m:r>
      </m:oMath>
      <w:r>
        <w:t xml:space="preserve">. Right: Similarity index of the AND model against ANDI study’s empirical LMCI atrophy distribution, over model time</w:t>
      </w:r>
      <w:r>
        <w:t xml:space="preserve"> </w:t>
      </w:r>
      <m:oMath>
        <m:r>
          <m:t>t</m:t>
        </m:r>
      </m:oMath>
      <w:r>
        <w:t xml:space="preserve">.</w:t>
      </w:r>
      <w:r>
        <w:t xml:space="preserve"> </w:t>
      </w:r>
    </w:p>
    <w:p>
      <w:pPr>
        <w:pStyle w:val="BodyText"/>
      </w:pPr>
      <w:r>
        <w:t xml:space="preserve">The above figure corresponds to the default choice in the Smoluchowski model based on empirical</w:t>
      </w:r>
      <w:r>
        <w:t xml:space="preserve"> </w:t>
      </w:r>
      <w:r>
        <w:rPr>
          <w:i/>
        </w:rPr>
        <w:t xml:space="preserve">in vitro</w:t>
      </w:r>
      <w:r>
        <w:t xml:space="preserve"> </w:t>
      </w:r>
      <w:r>
        <w:t xml:space="preserve">fitting data on amyloids, where a Gamma-shaped expression (Gillam and MacPhee 2013)</w:t>
      </w:r>
      <w:r>
        <w:t xml:space="preserve"> </w:t>
      </w:r>
      <m:oMath>
        <m:sSub>
          <m:e>
            <m:r>
              <m:t>a</m:t>
            </m:r>
          </m:e>
          <m:sub>
            <m:r>
              <m:t>m</m:t>
            </m:r>
            <m:r>
              <m:t>j</m:t>
            </m:r>
          </m:sub>
        </m:sSub>
        <m:r>
          <m:t>=</m:t>
        </m:r>
        <m:f>
          <m:fPr>
            <m:type m:val="bar"/>
          </m:fPr>
          <m:num>
            <m:r>
              <m:t>m</m:t>
            </m:r>
            <m:r>
              <m:t>j</m:t>
            </m:r>
          </m:num>
          <m:den>
            <m:sSubSup>
              <m:e>
                <m:r>
                  <m:t>σ</m:t>
                </m:r>
              </m:e>
              <m:sub>
                <m:r>
                  <m:t>a</m:t>
                </m:r>
                <m:r>
                  <m:t>g</m:t>
                </m:r>
                <m:r>
                  <m:t>g</m:t>
                </m:r>
              </m:sub>
              <m:sup>
                <m:r>
                  <m:t>2</m:t>
                </m:r>
              </m:sup>
            </m:sSubSup>
          </m:den>
        </m:f>
        <m:r>
          <m:rPr>
            <m:sty m:val="p"/>
          </m:rPr>
          <m:t>exp</m:t>
        </m:r>
        <m:d>
          <m:dPr>
            <m:begChr m:val="("/>
            <m:endChr m:val=")"/>
            <m:grow/>
          </m:dPr>
          <m:e>
            <m:r>
              <m:t>−</m:t>
            </m:r>
            <m:f>
              <m:fPr>
                <m:type m:val="bar"/>
              </m:fPr>
              <m:num>
                <m:r>
                  <m:t>m</m:t>
                </m:r>
                <m:r>
                  <m:t>j</m:t>
                </m:r>
              </m:num>
              <m:den>
                <m:sSubSup>
                  <m:e>
                    <m:r>
                      <m:t>σ</m:t>
                    </m:r>
                  </m:e>
                  <m:sub>
                    <m:r>
                      <m:t>a</m:t>
                    </m:r>
                    <m:r>
                      <m:t>g</m:t>
                    </m:r>
                    <m:r>
                      <m:t>g</m:t>
                    </m:r>
                  </m:sub>
                  <m:sup>
                    <m:r>
                      <m:t>2</m:t>
                    </m:r>
                  </m:sup>
                </m:sSubSup>
              </m:den>
            </m:f>
          </m:e>
        </m:d>
      </m:oMath>
      <w:r>
        <w:t xml:space="preserve"> </w:t>
      </w:r>
      <w:r>
        <w:t xml:space="preserve">was used to model the behavior of the aggregation rate constants for various oligomer lengths. We also tested the behavior of the thermodynamically-inspired choice</w:t>
      </w:r>
      <w:r>
        <w:t xml:space="preserve"> </w:t>
      </w:r>
      <m:oMath>
        <m:sSub>
          <m:e>
            <m:r>
              <m:t>a</m:t>
            </m:r>
          </m:e>
          <m:sub>
            <m:r>
              <m:t>m</m:t>
            </m:r>
            <m:r>
              <m:t>j</m:t>
            </m:r>
          </m:sub>
        </m:sSub>
        <m:r>
          <m:t>=</m:t>
        </m:r>
        <m:f>
          <m:fPr>
            <m:type m:val="bar"/>
          </m:fPr>
          <m:num>
            <m:sSub>
              <m:e>
                <m:r>
                  <m:t>σ</m:t>
                </m:r>
              </m:e>
              <m:sub>
                <m:r>
                  <m:t>a</m:t>
                </m:r>
                <m:r>
                  <m:t>g</m:t>
                </m:r>
                <m:r>
                  <m:t>g</m:t>
                </m:r>
              </m:sub>
            </m:sSub>
          </m:num>
          <m:den>
            <m:r>
              <m:t>m</m:t>
            </m:r>
            <m:r>
              <m:t>j</m:t>
            </m:r>
          </m:den>
        </m:f>
      </m:oMath>
      <w:r>
        <w:t xml:space="preserve">, shown in Figure ???. Interestingly, AND dynamics did not change appreciably, although further exhaustive exploration of different formulations was not attempted. We also implemented two different formulations for diffusivity rate constants:</w:t>
      </w:r>
      <w:r>
        <w:t xml:space="preserve"> </w:t>
      </w:r>
      <m:oMath>
        <m:sSub>
          <m:e>
            <m:r>
              <m:t>d</m:t>
            </m:r>
          </m:e>
          <m:sub>
            <m:r>
              <m:t>m</m:t>
            </m:r>
          </m:sub>
        </m:sSub>
        <m:r>
          <m:t>=</m:t>
        </m:r>
        <m:f>
          <m:fPr>
            <m:type m:val="bar"/>
          </m:fPr>
          <m:num>
            <m:r>
              <m:t>m</m:t>
            </m:r>
          </m:num>
          <m:den>
            <m:sSub>
              <m:e>
                <m:r>
                  <m:t>σ</m:t>
                </m:r>
              </m:e>
              <m:sub>
                <m:r>
                  <m:t>d</m:t>
                </m:r>
                <m:r>
                  <m:t>i</m:t>
                </m:r>
                <m:r>
                  <m:t>f</m:t>
                </m:r>
                <m:r>
                  <m:t>f</m:t>
                </m:r>
              </m:sub>
            </m:sSub>
          </m:den>
        </m:f>
        <m:r>
          <m:rPr>
            <m:sty m:val="p"/>
          </m:rPr>
          <m:t>exp</m:t>
        </m:r>
        <m:d>
          <m:dPr>
            <m:begChr m:val="("/>
            <m:endChr m:val=")"/>
            <m:grow/>
          </m:dPr>
          <m:e>
            <m:r>
              <m:t>−</m:t>
            </m:r>
            <m:f>
              <m:fPr>
                <m:type m:val="bar"/>
              </m:fPr>
              <m:num>
                <m:r>
                  <m:t>m</m:t>
                </m:r>
              </m:num>
              <m:den>
                <m:sSub>
                  <m:e>
                    <m:r>
                      <m:t>σ</m:t>
                    </m:r>
                  </m:e>
                  <m:sub>
                    <m:r>
                      <m:t>d</m:t>
                    </m:r>
                    <m:r>
                      <m:t>i</m:t>
                    </m:r>
                    <m:r>
                      <m:t>f</m:t>
                    </m:r>
                    <m:r>
                      <m:t>f</m:t>
                    </m:r>
                  </m:sub>
                </m:sSub>
              </m:den>
            </m:f>
          </m:e>
        </m:d>
      </m:oMath>
      <w:r>
        <w:t xml:space="preserve"> </w:t>
      </w:r>
      <w:r>
        <w:t xml:space="preserve">(above Figure ???) and</w:t>
      </w:r>
      <w:r>
        <w:t xml:space="preserve"> </w:t>
      </w:r>
      <m:oMath>
        <m:sSub>
          <m:e>
            <m:r>
              <m:t>d</m:t>
            </m:r>
          </m:e>
          <m:sub>
            <m:r>
              <m:t>m</m:t>
            </m:r>
          </m:sub>
        </m:sSub>
        <m:r>
          <m:t>=</m:t>
        </m:r>
        <m:sSub>
          <m:e>
            <m:r>
              <m:t>σ</m:t>
            </m:r>
          </m:e>
          <m:sub>
            <m:r>
              <m:t>d</m:t>
            </m:r>
            <m:r>
              <m:t>i</m:t>
            </m:r>
            <m:r>
              <m:t>f</m:t>
            </m:r>
            <m:r>
              <m:t>f</m:t>
            </m:r>
          </m:sub>
        </m:sSub>
        <m:r>
          <m:t>/</m:t>
        </m:r>
        <m:r>
          <m:t>m</m:t>
        </m:r>
      </m:oMath>
      <w:r>
        <w:t xml:space="preserve"> </w:t>
      </w:r>
      <w:r>
        <w:t xml:space="preserve">(Figure ???). In the latter case, AND model evolution of different oligomers was seen to be somewhat different, but the overall correspondence with empirical data was quite comparable in all three cases.</w:t>
      </w:r>
    </w:p>
    <w:p>
      <w:pPr>
        <w:pStyle w:val="FigureWithCaption"/>
      </w:pPr>
      <w:r>
        <w:drawing>
          <wp:inline>
            <wp:extent cx="3810000" cy="2540000"/>
            <wp:effectExtent b="0" l="0" r="0" t="0"/>
            <wp:docPr descr="Temporal evolution of \tau oligomers over time for a different definition of aggregation rates: a_{mj} = \frac{\sigma_{agg}}{mj} . The temporal evolution and sequencing of peak times are similar to the earlier case." title="" id="1" name="Picture"/>
            <a:graphic>
              <a:graphicData uri="http://schemas.openxmlformats.org/drawingml/2006/picture">
                <pic:pic>
                  <pic:nvPicPr>
                    <pic:cNvPr descr="figures/fig1a.pdf" id="0"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Temporal evolution of</w:t>
      </w:r>
      <w:r>
        <w:t xml:space="preserve"> </w:t>
      </w:r>
      <m:oMath>
        <m:r>
          <m:t>τ</m:t>
        </m:r>
      </m:oMath>
      <w:r>
        <w:t xml:space="preserve"> </w:t>
      </w:r>
      <w:r>
        <w:t xml:space="preserve">oligomers over time for a different definition of aggregation rates:</w:t>
      </w:r>
      <w:r>
        <w:t xml:space="preserve"> </w:t>
      </w:r>
      <m:oMath>
        <m:sSub>
          <m:e>
            <m:r>
              <m:t>a</m:t>
            </m:r>
          </m:e>
          <m:sub>
            <m:r>
              <m:t>m</m:t>
            </m:r>
            <m:r>
              <m:t>j</m:t>
            </m:r>
          </m:sub>
        </m:sSub>
        <m:r>
          <m:t>=</m:t>
        </m:r>
        <m:f>
          <m:fPr>
            <m:type m:val="bar"/>
          </m:fPr>
          <m:num>
            <m:sSub>
              <m:e>
                <m:r>
                  <m:t>σ</m:t>
                </m:r>
              </m:e>
              <m:sub>
                <m:r>
                  <m:t>a</m:t>
                </m:r>
                <m:r>
                  <m:t>g</m:t>
                </m:r>
                <m:r>
                  <m:t>g</m:t>
                </m:r>
              </m:sub>
            </m:sSub>
          </m:num>
          <m:den>
            <m:r>
              <m:t>m</m:t>
            </m:r>
            <m:r>
              <m:t>j</m:t>
            </m:r>
          </m:den>
        </m:f>
      </m:oMath>
      <w:r>
        <w:t xml:space="preserve">. The temporal evolution and sequencing of peak times are similar to the earlier case.</w:t>
      </w:r>
    </w:p>
    <w:p>
      <w:pPr>
        <w:pStyle w:val="FigureWithCaption"/>
      </w:pPr>
      <w:r>
        <w:drawing>
          <wp:inline>
            <wp:extent cx="3810000" cy="2540000"/>
            <wp:effectExtent b="0" l="0" r="0" t="0"/>
            <wp:docPr descr="Temporal evolution of \tau oligomers over time for a different definition of diffusivity rates: d_m = \sigma_{diff}/m . The temporal evolution and sequencing of peak times are somewhat different from the earlier case, suggesting that the exact nature of how diffusivity scales with oligomer length might be an important mediator of large-scale behavior of AND dynamics." title="" id="1" name="Picture"/>
            <a:graphic>
              <a:graphicData uri="http://schemas.openxmlformats.org/drawingml/2006/picture">
                <pic:pic>
                  <pic:nvPicPr>
                    <pic:cNvPr descr="figures/fig1b.pdf" id="0" name="Picture"/>
                    <pic:cNvPicPr>
                      <a:picLocks noChangeArrowheads="1" noChangeAspect="1"/>
                    </pic:cNvPicPr>
                  </pic:nvPicPr>
                  <pic:blipFill>
                    <a:blip r:embed="rId33"/>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Temporal evolution of</w:t>
      </w:r>
      <w:r>
        <w:t xml:space="preserve"> </w:t>
      </w:r>
      <m:oMath>
        <m:r>
          <m:t>τ</m:t>
        </m:r>
      </m:oMath>
      <w:r>
        <w:t xml:space="preserve"> </w:t>
      </w:r>
      <w:r>
        <w:t xml:space="preserve">oligomers over time for a different definition of diffusivity rates:</w:t>
      </w:r>
      <w:r>
        <w:t xml:space="preserve"> </w:t>
      </w:r>
      <m:oMath>
        <m:sSub>
          <m:e>
            <m:r>
              <m:t>d</m:t>
            </m:r>
          </m:e>
          <m:sub>
            <m:r>
              <m:t>m</m:t>
            </m:r>
          </m:sub>
        </m:sSub>
        <m:r>
          <m:t>=</m:t>
        </m:r>
        <m:sSub>
          <m:e>
            <m:r>
              <m:t>σ</m:t>
            </m:r>
          </m:e>
          <m:sub>
            <m:r>
              <m:t>d</m:t>
            </m:r>
            <m:r>
              <m:t>i</m:t>
            </m:r>
            <m:r>
              <m:t>f</m:t>
            </m:r>
            <m:r>
              <m:t>f</m:t>
            </m:r>
          </m:sub>
        </m:sSub>
        <m:r>
          <m:t>/</m:t>
        </m:r>
        <m:r>
          <m:t>m</m:t>
        </m:r>
      </m:oMath>
      <w:r>
        <w:t xml:space="preserve">. The temporal evolution and sequencing of peak times are somewhat different from the earlier case, suggesting that the exact nature of how diffusivity scales with oligomer length might be an important mediator of large-scale behavior of AND dynamics.</w:t>
      </w:r>
    </w:p>
    <w:p>
      <w:pPr>
        <w:pStyle w:val="BodyText"/>
      </w:pPr>
      <w:r>
        <w:t xml:space="preserve">Figure ??? shows</w:t>
      </w:r>
      <w:r>
        <w:t xml:space="preserve"> </w:t>
      </w:r>
      <w:r>
        <w:t xml:space="preserve">“</w:t>
      </w:r>
      <w:r>
        <w:t xml:space="preserve">glass brain</w:t>
      </w:r>
      <w:r>
        <w:t xml:space="preserve">”</w:t>
      </w:r>
      <w:r>
        <w:t xml:space="preserve"> </w:t>
      </w:r>
      <w:r>
        <w:t xml:space="preserve">rendering of the evolution of the regional distribution of the theoretic AND-predicted</w:t>
      </w:r>
      <w:r>
        <w:t xml:space="preserve"> </w:t>
      </w:r>
      <m:oMath>
        <m:r>
          <m:t>τ</m:t>
        </m:r>
      </m:oMath>
      <w:r>
        <w:t xml:space="preserve"> </w:t>
      </w:r>
      <w:r>
        <w:t xml:space="preserve">oligomers over time. For the purpose of this illustration, the last oligomeric species (assumed to be tangles,</w:t>
      </w:r>
      <w:r>
        <w:t xml:space="preserve"> </w:t>
      </w:r>
      <m:oMath>
        <m:r>
          <m:t>m</m:t>
        </m:r>
        <m:r>
          <m:t>=</m:t>
        </m:r>
        <m:r>
          <m:t>5</m:t>
        </m:r>
      </m:oMath>
      <w:r>
        <w:t xml:space="preserve">) is shown, since AV1451 binds mainly to the tangles rather than to soluble oligomers. Each brain region is represented by a sphere placed at the region’s centroid.</w:t>
      </w:r>
    </w:p>
    <w:p>
      <w:pPr>
        <w:pStyle w:val="BodyText"/>
      </w:pPr>
      <w:r>
        <w:t xml:space="preserve">For comparison empirical</w:t>
      </w:r>
      <w:r>
        <w:t xml:space="preserve"> </w:t>
      </w:r>
      <m:oMath>
        <m:r>
          <m:t>τ</m:t>
        </m:r>
      </m:oMath>
      <w:r>
        <w:t xml:space="preserve"> </w:t>
      </w:r>
      <w:r>
        <w:t xml:space="preserve">distribution from AV1451-PET scans in the Korea study are shown in the middle column. A similar comparison between the spatio-temporal evolution of</w:t>
      </w:r>
      <w:r>
        <w:t xml:space="preserve"> </w:t>
      </w:r>
      <m:oMath>
        <m:r>
          <m:t>τ</m:t>
        </m:r>
      </m:oMath>
      <w:r>
        <w:t xml:space="preserve"> </w:t>
      </w:r>
      <w:r>
        <w:t xml:space="preserve">predicted by the model and empirical regional atrophy data from the ADNI study is given in the right column. Note that regional atrophy is being used here as a close surrogate of</w:t>
      </w:r>
      <w:r>
        <w:t xml:space="preserve"> </w:t>
      </w:r>
      <m:oMath>
        <m:r>
          <m:t>τ</m:t>
        </m:r>
      </m:oMath>
      <w:r>
        <w:t xml:space="preserve"> </w:t>
      </w:r>
      <w:r>
        <w:t xml:space="preserve">deposition, since there is mounting evidence from neuroimaging and mouse model studies that the two are strongly associated (Vemuri et al. 2008; Whitwell et al. 2008). Sphere color is by lobe: blue = frontal, purple = parietal, red = occipital, green = temporal, black = sub-cortical, cyan = cingulate. The sphere diameter is proportional to effect size: model value or empirical (PET binding SUVR or MRI-derived atrophy t-statistic). The key observation from this figure is that the AND model successfully recapitulates the spatiotemporal time course of</w:t>
      </w:r>
      <w:r>
        <w:t xml:space="preserve"> </w:t>
      </w:r>
      <m:oMath>
        <m:r>
          <m:t>τ</m:t>
        </m:r>
      </m:oMath>
      <w:r>
        <w:t xml:space="preserve"> </w:t>
      </w:r>
      <w:r>
        <w:t xml:space="preserve">progression at all stages of the disease, whereby: starting in the entorhinal cortex, we see increasing amounts of theoretical pathology in adjoining temporal cortices, followed by subcortical pathology, in particular hippocampus and amygdala. Thus, initial monomers generated in the entorhinal cortex undergo the process of aggregation and subsequently their networked spread causes deposits to occur in temporal, parietal and posterior cortices. The temporal behavior predicted by the model is roughly in agreement with the ordered stages of AD progression (naMCI/EMCI to aMCI/LMCI to AD). Visually, the AND model gives strikingly similar regional patterns against both empirical</w:t>
      </w:r>
      <w:r>
        <w:t xml:space="preserve"> </w:t>
      </w:r>
      <m:oMath>
        <m:r>
          <m:t>τ</m:t>
        </m:r>
      </m:oMath>
      <w:r>
        <w:t xml:space="preserve"> </w:t>
      </w:r>
      <w:r>
        <w:t xml:space="preserve">as well as atrophy data.</w:t>
      </w:r>
    </w:p>
    <w:p>
      <w:pPr>
        <w:pStyle w:val="BodyText"/>
      </w:pPr>
      <w:r>
        <w:t xml:space="preserve">Similarity scores between model and empirical distributions are shown as a function of model time</w:t>
      </w:r>
      <w:r>
        <w:t xml:space="preserve"> </w:t>
      </w:r>
      <m:oMath>
        <m:r>
          <m:t>t</m:t>
        </m:r>
      </m:oMath>
      <w:r>
        <w:t xml:space="preserve">. Similarity curves in the top row show that the model increasingly fits empirical regional patterns as network diffusion proceeds, with the best fits achieved for the stages preceding full-blown dementia (aMCI in the Korea cohort and LMCI in the ADNI cohort). AD patients also show high model fits, but the naMCI and EMCI cohorts show poor fits, consistent with the fact that the latter are either very early in the disease process or are on track for non-amnestic dementia. That aMCI and LMCI data are fit better than AD suggests that the AND model is capturing phases where active pathology transmission is ongoing; many recent authors have suggested that by the time of onset of full AD, pathology might have reached a plateau, with further changes relating only to cell loss and functional deficits (</w:t>
      </w:r>
      <w:r>
        <w:t xml:space="preserve">Jack Jr</w:t>
      </w:r>
      <w:r>
        <w:t xml:space="preserve"> </w:t>
      </w:r>
      <w:r>
        <w:t xml:space="preserve">et al. 2010). At the peak of the R-t curves, all fits are significant at</w:t>
      </w:r>
      <w:r>
        <w:t xml:space="preserve"> </w:t>
      </w:r>
      <m:oMath>
        <m:r>
          <m:t>p</m:t>
        </m:r>
        <m:r>
          <m:t>=</m:t>
        </m:r>
        <m:r>
          <m:t>0.05</m:t>
        </m:r>
      </m:oMath>
      <w:r>
        <w:t xml:space="preserve">. At late time points the similarity curves reaches a plateau even though the tangle pathology keeps rising, since the similarity measure here is Pearson correlation, which is insensitive to overall scale.</w:t>
      </w:r>
    </w:p>
    <w:p>
      <w:pPr>
        <w:pStyle w:val="FigureWithCaption"/>
      </w:pPr>
      <w:r>
        <w:drawing>
          <wp:inline>
            <wp:extent cx="3810000" cy="2540000"/>
            <wp:effectExtent b="0" l="0" r="0" t="0"/>
            <wp:docPr descr="Glass brain rendering of theoretical AND-predicted regional \tau distribution (left column) and its comparison with empirical \tau measured from regional AV1451-PET scans of patients (middle column) and regional atrophy obtained from a different cohort of patients in the ADNI study (right column). Sphere color is by lobe: blue = frontal, purple = parietal, red = occipital, green = temporal, black = sub-cortical, cyan = cingulate. Similarity scores (Pearson’s R) between the model and empirical data are shown as a function of model time t in the top row (green = naMCI and EMCI; red = aMCI and LMCI; blue = AD). At late time points the similarity curves reaches a plateau even though the tangle pathology keeps rising." title="" id="1" name="Picture"/>
            <a:graphic>
              <a:graphicData uri="http://schemas.openxmlformats.org/drawingml/2006/picture">
                <pic:pic>
                  <pic:nvPicPr>
                    <pic:cNvPr descr="figures/fig2.pdf" id="0" name="Picture"/>
                    <pic:cNvPicPr>
                      <a:picLocks noChangeArrowheads="1" noChangeAspect="1"/>
                    </pic:cNvPicPr>
                  </pic:nvPicPr>
                  <pic:blipFill>
                    <a:blip r:embed="rId34"/>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Glass brain rendering of theoretical AND-predicted regional</w:t>
      </w:r>
      <w:r>
        <w:t xml:space="preserve"> </w:t>
      </w:r>
      <m:oMath>
        <m:r>
          <m:t>τ</m:t>
        </m:r>
      </m:oMath>
      <w:r>
        <w:t xml:space="preserve"> </w:t>
      </w:r>
      <w:r>
        <w:t xml:space="preserve">distribution (left column) and its comparison with empirical</w:t>
      </w:r>
      <w:r>
        <w:t xml:space="preserve"> </w:t>
      </w:r>
      <m:oMath>
        <m:r>
          <m:t>τ</m:t>
        </m:r>
      </m:oMath>
      <w:r>
        <w:t xml:space="preserve"> </w:t>
      </w:r>
      <w:r>
        <w:t xml:space="preserve">measured from regional AV1451-PET scans of patients (middle column) and regional atrophy obtained from a different cohort of patients in the ADNI study (right column). Sphere color is by lobe: blue = frontal, purple = parietal, red = occipital, green = temporal, black = sub-cortical, cyan = cingulate. Similarity scores (Pearson’s R) between the model and empirical data are shown as a function of model time</w:t>
      </w:r>
      <w:r>
        <w:t xml:space="preserve"> </w:t>
      </w:r>
      <m:oMath>
        <m:r>
          <m:t>t</m:t>
        </m:r>
      </m:oMath>
      <w:r>
        <w:t xml:space="preserve"> </w:t>
      </w:r>
      <w:r>
        <w:t xml:space="preserve">in the top row (green = naMCI and EMCI; red = aMCI and LMCI; blue = AD). At late time points the similarity curves reaches a plateau even though the tangle pathology keeps rising.</w:t>
      </w:r>
    </w:p>
    <w:p>
      <w:pPr>
        <w:pStyle w:val="BodyText"/>
      </w:pPr>
      <w:r>
        <w:t xml:space="preserve">In section SI-2 we explore whether parameter choices strongly affect the match between the AND model and empirical data, selecting</w:t>
      </w:r>
      <w:r>
        <w:t xml:space="preserve"> </w:t>
      </w:r>
      <m:oMath>
        <m:r>
          <m:t>3</m:t>
        </m:r>
      </m:oMath>
      <w:r>
        <w:t xml:space="preserve"> </w:t>
      </w:r>
      <w:r>
        <w:t xml:space="preserve">key parameters from the model -</w:t>
      </w:r>
      <w:r>
        <w:t xml:space="preserve"> </w:t>
      </w:r>
      <m:oMath>
        <m:sSub>
          <m:e>
            <m:r>
              <m:t>σ</m:t>
            </m:r>
          </m:e>
          <m:sub>
            <m:r>
              <m:t>a</m:t>
            </m:r>
            <m:r>
              <m:t>g</m:t>
            </m:r>
            <m:r>
              <m:t>g</m:t>
            </m:r>
          </m:sub>
        </m:sSub>
        <m:r>
          <m:t>,</m:t>
        </m:r>
        <m:sSub>
          <m:e>
            <m:r>
              <m:t>σ</m:t>
            </m:r>
          </m:e>
          <m:sub>
            <m:r>
              <m:t>d</m:t>
            </m:r>
            <m:r>
              <m:t>i</m:t>
            </m:r>
            <m:r>
              <m:t>f</m:t>
            </m:r>
            <m:r>
              <m:t>f</m:t>
            </m:r>
          </m:sub>
        </m:sSub>
        <m:r>
          <m:t>,</m:t>
        </m:r>
        <m:sSub>
          <m:e>
            <m:r>
              <m:t>c</m:t>
            </m:r>
          </m:e>
          <m:sub>
            <m:r>
              <m:t>1</m:t>
            </m:r>
          </m:sub>
        </m:sSub>
      </m:oMath>
      <w:r>
        <w:t xml:space="preserve"> </w:t>
      </w:r>
      <w:r>
        <w:t xml:space="preserve">- for detailed exploration and keeping the rest fixed. Figure S1 shows that model performance is quite insensitive to a wide range of model parameters, yet some parameters are better than others. This indicates that AND is an identifiable model. We repeated this analysis for</w:t>
      </w:r>
      <w:r>
        <w:t xml:space="preserve"> </w:t>
      </w:r>
      <m:oMath>
        <m:r>
          <m:t>4</m:t>
        </m:r>
      </m:oMath>
      <w:r>
        <w:t xml:space="preserve"> </w:t>
      </w:r>
      <w:r>
        <w:t xml:space="preserve">combinations of model choices noted earlier, arising from the two definitions of aggregation constants</w:t>
      </w:r>
      <w:r>
        <w:t xml:space="preserve"> </w:t>
      </w:r>
      <m:oMath>
        <m:sSub>
          <m:e>
            <m:r>
              <m:t>a</m:t>
            </m:r>
          </m:e>
          <m:sub>
            <m:r>
              <m:t>m</m:t>
            </m:r>
            <m:r>
              <m:t>j</m:t>
            </m:r>
          </m:sub>
        </m:sSub>
      </m:oMath>
      <w:r>
        <w:t xml:space="preserve"> </w:t>
      </w:r>
      <w:r>
        <w:t xml:space="preserve">and diffusivity rates</w:t>
      </w:r>
      <w:r>
        <w:t xml:space="preserve"> </w:t>
      </w:r>
      <m:oMath>
        <m:sSub>
          <m:e>
            <m:r>
              <m:t>d</m:t>
            </m:r>
          </m:e>
          <m:sub>
            <m:r>
              <m:t>m</m:t>
            </m:r>
          </m:sub>
        </m:sSub>
      </m:oMath>
      <w:r>
        <w:t xml:space="preserve">. All choices are capable of yielding similar performance at some parameter value. Current</w:t>
      </w:r>
      <w:r>
        <w:t xml:space="preserve"> </w:t>
      </w:r>
      <w:r>
        <w:rPr>
          <w:i/>
        </w:rPr>
        <w:t xml:space="preserve">in vivo</w:t>
      </w:r>
      <w:r>
        <w:t xml:space="preserve"> </w:t>
      </w:r>
      <w:r>
        <w:t xml:space="preserve">data only measure tangle loads, hence further detailed experimental data on reaction kinetics and the ability to observe all oligomeric concentrations will be needed to thoroughly evaluate these model choices.</w:t>
      </w:r>
    </w:p>
    <w:p>
      <w:pPr>
        <w:pStyle w:val="BodyText"/>
      </w:pPr>
      <w:r>
        <w:t xml:space="preserve">Although the above results relied on the well established seeding of entorhinal cortex, it possibly a different seeding location might be closer to empirical data. Although we did not explore this issue exhaustively, in Supplementary section ??? we show a results from an alternative seeding scheme: seeding the AND model at the putamen, which, as part of the striatum, is not in fact considered a plausible site of pathology initiation in AD. Instead the putamen is a common location of frontotemporal and other dementias. As expected, putamen-seeding was found not to be a good model of</w:t>
      </w:r>
      <w:r>
        <w:t xml:space="preserve"> </w:t>
      </w:r>
      <m:oMath>
        <m:r>
          <m:t>τ</m:t>
        </m:r>
      </m:oMath>
      <w:r>
        <w:t xml:space="preserve"> </w:t>
      </w:r>
      <w:r>
        <w:t xml:space="preserve">patterns in mature AD subjects (</w:t>
      </w:r>
      <m:oMath>
        <m:r>
          <m:t>R</m:t>
        </m:r>
        <m:r>
          <m:t>=</m:t>
        </m:r>
        <m:r>
          <m:t>0.16</m:t>
        </m:r>
      </m:oMath>
      <w:r>
        <w:t xml:space="preserve"> </w:t>
      </w:r>
      <w:r>
        <w:t xml:space="preserve">with putamen seeding, versus</w:t>
      </w:r>
      <w:r>
        <w:t xml:space="preserve"> </w:t>
      </w:r>
      <m:oMath>
        <m:r>
          <m:t>R</m:t>
        </m:r>
        <m:r>
          <m:t>=</m:t>
        </m:r>
        <m:r>
          <m:t>0.40</m:t>
        </m:r>
      </m:oMath>
      <w:r>
        <w:t xml:space="preserve"> </w:t>
      </w:r>
      <w:r>
        <w:t xml:space="preserve">for EC-seeding), (Figure S2). This provides a null reference for the above results, and suggests that the AND model seeded at EC is not only sensitive but may also be specific to AD. But putamen seeding was somewhat better for early MCI and mixed etiology groups, where many subjects might have a different, frontal or striatal etiologic origin.</w:t>
      </w:r>
    </w:p>
    <w:p>
      <w:pPr>
        <w:pStyle w:val="Heading1"/>
      </w:pPr>
      <w:bookmarkStart w:id="35" w:name="discussion"/>
      <w:bookmarkEnd w:id="35"/>
      <w:r>
        <w:t xml:space="preserve">Discussion</w:t>
      </w:r>
    </w:p>
    <w:p>
      <w:pPr>
        <w:pStyle w:val="Heading2"/>
      </w:pPr>
      <w:bookmarkStart w:id="36" w:name="summary-of-key-results"/>
      <w:bookmarkEnd w:id="36"/>
      <w:r>
        <w:t xml:space="preserve">Summary of key results</w:t>
      </w:r>
    </w:p>
    <w:p>
      <w:pPr>
        <w:pStyle w:val="FirstParagraph"/>
      </w:pPr>
      <w:r>
        <w:t xml:space="preserve">We proposed a parsimonious mathematical model of the three pathological processes involved in the progression of</w:t>
      </w:r>
      <w:r>
        <w:t xml:space="preserve"> </w:t>
      </w:r>
      <m:oMath>
        <m:r>
          <m:t>τ</m:t>
        </m:r>
      </m:oMath>
      <w:r>
        <w:t xml:space="preserve"> </w:t>
      </w:r>
      <w:r>
        <w:t xml:space="preserve">proteins throughout the Alzheimer brain: monomer production; aggregation into oligomers and then into tangles; and the spatiotemporal progression of misfolded</w:t>
      </w:r>
      <w:r>
        <w:t xml:space="preserve"> </w:t>
      </w:r>
      <m:oMath>
        <m:r>
          <m:t>τ</m:t>
        </m:r>
      </m:oMath>
      <w:r>
        <w:t xml:space="preserve"> </w:t>
      </w:r>
      <w:r>
        <w:t xml:space="preserve">as it ramifies into neural circuits along white matter projections. Initial production of misfolded monomeric</w:t>
      </w:r>
      <w:r>
        <w:t xml:space="preserve"> </w:t>
      </w:r>
      <m:oMath>
        <m:r>
          <m:t>τ</m:t>
        </m:r>
      </m:oMath>
      <w:r>
        <w:t xml:space="preserve"> </w:t>
      </w:r>
      <w:r>
        <w:t xml:space="preserve">was assumed to occur specifically at the entorhinal cortex, based on histopathological Braak staging. The pathological underpinnings of both protein aggregation and networked spread are given by mounting evidence for</w:t>
      </w:r>
      <w:r>
        <w:t xml:space="preserve"> </w:t>
      </w:r>
      <w:r>
        <w:t xml:space="preserve">“</w:t>
      </w:r>
      <w:r>
        <w:t xml:space="preserve">prion-like</w:t>
      </w:r>
      <w:r>
        <w:t xml:space="preserve">”</w:t>
      </w:r>
      <w:r>
        <w:t xml:space="preserve"> </w:t>
      </w:r>
      <w:r>
        <w:t xml:space="preserve">trans-neuronal transmission, whereby proteins misfold, trigger misfolding of adjacent same-species proteins, and thereupon cascade along neuronal pathways (Clavaguera et al. 2009; Frost and Diamond 2010; Iba et al. 2015; Jucker and Walker 2013). Trans-neuronal transmission implies spread along axonal projections rather than spatially. Bidirectional transmissions was assumed through projection fibers, under a previously established Network-Diffusion process whereby anatomic connections govern the rate at which two distant but connected brain regions can transfer pathologic</w:t>
      </w:r>
      <w:r>
        <w:t xml:space="preserve"> </w:t>
      </w:r>
      <m:oMath>
        <m:r>
          <m:t>τ</m:t>
        </m:r>
      </m:oMath>
      <w:r>
        <w:t xml:space="preserve">. This combined model, which we call Aggregation-Network-Diffusion (AND), exhibits all hallmarks of tau progression seen in human patients. can explain many experimental findings in AD. The model is specifically effective when seeded at the entorhinal cortex, since another AND model seeded at the putamen failed to recapitulate mature Alzheimer-related</w:t>
      </w:r>
      <w:r>
        <w:t xml:space="preserve"> </w:t>
      </w:r>
      <m:oMath>
        <m:r>
          <m:t>τ</m:t>
        </m:r>
      </m:oMath>
      <w:r>
        <w:t xml:space="preserve"> </w:t>
      </w:r>
      <w:r>
        <w:t xml:space="preserve">patterning. The presented AND model unifies structural biochemical processes at the microscopic scales with local and long range trans-neuronal transmission processes at the macroscopic scales in a single, quantitatively testable model. To our knowledge, this is the first theoretical model of protein aggregation and transmission to be developed or tested on a macroscopic, whole brain scale.</w:t>
      </w:r>
    </w:p>
    <w:p>
      <w:pPr>
        <w:pStyle w:val="Heading2"/>
      </w:pPr>
      <w:bookmarkStart w:id="37" w:name="applications-and-implications"/>
      <w:bookmarkEnd w:id="37"/>
      <w:r>
        <w:t xml:space="preserve">Applications and implications</w:t>
      </w:r>
    </w:p>
    <w:p>
      <w:pPr>
        <w:pStyle w:val="FirstParagraph"/>
      </w:pPr>
      <w:r>
        <w:t xml:space="preserve">The presented AND model unifies structural biochemical processes at the microscopic scales with local and long range trans-neuronal transmission processes at the macroscopic scales in a single, quantitative and testable model. Therefore this approach can serve as an effective bridge between theoretical studies, bench science and human imaging studies. Several hitherto inaccessible possibilities emerge.</w:t>
      </w:r>
    </w:p>
    <w:p>
      <w:pPr>
        <w:pStyle w:val="BodyText"/>
      </w:pPr>
      <w:r>
        <w:t xml:space="preserve">First, current models of protein aggregation involve kinetic and aggregation parameters that must be estimated from detailed in vitro experimental data on reaction kinetics. Unfortunately, kinetics in solution or suspension do not frequently capture the complex environments and the pathological milieu of proteins in tissue in vivo. This makes it very difficult if not impossible to realistically assess model parameters. Our AND model, by allowing fitting to in vivo data, can provide a new opportunity to obtain parameter fits to real in vivo human and animal brain data. In particular, there are several transgenic mouse studies from which highly detailed data on reaction and aggregation times can be deduced. When combined with detailed mesoscopic connectivity data in mice, the application of the AND model becomes possible on mouse tau studies. Second and related, the AND model can open up the possibility of testing competing models of protein aggregation in terms of their ability to reproduce not only in situ kinetics of oligomerization, but also the brain-wide ramification via trans-neuronal transmission. Although the present work considered Smoluchowski aggregation theory, several alternative models have been proposed, including the classic nucleation models. As noted above, testing these models on in vitro reaction kinetic data frequently suffers from lack of a neuropathological milieu. The proposed AND model can fill this gap. Third, the AND model provides a realistic avenue for understanding the pathophysiological progression of degenerative pathologies in a wide array of degenerative diseases, including Alzheimer’s, Parkinson’s, ALS, frontotemporal dementia, etc. This is because almost all these diseases involve one or more of a small number of misfolded protein species. Although in human cases we do not have access to various oligomeric species, we frequently are able to measure plaques and tangles. Thus, a model like ours, that is able to provide a mathematical link between monomeric and oligomeric species to measurable plaques and tangles, can be important addition to the burgeoning field of neurodegeneration.</w:t>
      </w:r>
    </w:p>
    <w:p>
      <w:pPr>
        <w:pStyle w:val="Heading2"/>
      </w:pPr>
      <w:bookmarkStart w:id="38" w:name="assumptions-limitations-and-future-work"/>
      <w:bookmarkEnd w:id="38"/>
      <w:r>
        <w:t xml:space="preserve">Assumptions, limitations and future work</w:t>
      </w:r>
    </w:p>
    <w:p>
      <w:pPr>
        <w:pStyle w:val="FirstParagraph"/>
      </w:pPr>
      <w:r>
        <w:t xml:space="preserve">Several issues and applications require further investigation. The presented model incorporates the Smoluchowski aggregation theory, but in practice other models of protein misfolding and aggregation are also plausible. Although extensive experimental data are available on the basis of which the suitability of various aggregation models has previously been assessed (Gillam and MacPhee 2013), these data typically come from</w:t>
      </w:r>
      <w:r>
        <w:t xml:space="preserve"> </w:t>
      </w:r>
      <w:r>
        <w:rPr>
          <w:i/>
        </w:rPr>
        <w:t xml:space="preserve">in vitro</w:t>
      </w:r>
      <w:r>
        <w:t xml:space="preserve"> </w:t>
      </w:r>
      <w:r>
        <w:t xml:space="preserve">reactions and it is unclear whether the same conclusions can be reached using</w:t>
      </w:r>
      <w:r>
        <w:t xml:space="preserve"> </w:t>
      </w:r>
      <w:r>
        <w:rPr>
          <w:i/>
        </w:rPr>
        <w:t xml:space="preserve">in vivo</w:t>
      </w:r>
      <w:r>
        <w:t xml:space="preserve"> </w:t>
      </w:r>
      <w:r>
        <w:t xml:space="preserve">data. Hence the question of which is the best aggregation model remains open, and can only be addressed by extensive validation on human neuroimaging or animal model histopathology data - part of our future planned work. Our use of MRI-derived atrophy as a surrogate for underlying</w:t>
      </w:r>
      <w:r>
        <w:t xml:space="preserve"> </w:t>
      </w:r>
      <m:oMath>
        <m:r>
          <m:t>τ</m:t>
        </m:r>
      </m:oMath>
      <w:r>
        <w:t xml:space="preserve"> </w:t>
      </w:r>
      <w:r>
        <w:t xml:space="preserve">distribution is well borne out by the fact that ante-mortem MRI-derived atrophy correlates strongly with post-mortem histopathologic</w:t>
      </w:r>
      <w:r>
        <w:t xml:space="preserve"> </w:t>
      </w:r>
      <m:oMath>
        <m:r>
          <m:t>τ</m:t>
        </m:r>
      </m:oMath>
      <w:r>
        <w:t xml:space="preserve"> </w:t>
      </w:r>
      <w:r>
        <w:t xml:space="preserve">(Vemuri et al. 2008; Whitwell et al. 2008). Therefore we reported not only AV1451-PET data but also MRI-derived regional atrophy as a close surrogate for</w:t>
      </w:r>
      <w:r>
        <w:t xml:space="preserve"> </w:t>
      </w:r>
      <m:oMath>
        <m:r>
          <m:t>τ</m:t>
        </m:r>
      </m:oMath>
      <w:r>
        <w:t xml:space="preserve"> </w:t>
      </w:r>
      <w:r>
        <w:t xml:space="preserve">deposition. In this study, we used DTI-derived human connectomes, which by design cannot infer directionality of connections. In reality, protein transmission is likely to be a directional process, whether anterograde or retrograde. The incorporation of directionality of transmission can be trivially achieved by a simple modification of the presented approach.</w:t>
      </w:r>
    </w:p>
    <w:p>
      <w:pPr>
        <w:pStyle w:val="BodyText"/>
      </w:pPr>
      <w:r>
        <w:t xml:space="preserve">Another important limiting assumption is that</w:t>
      </w:r>
      <w:r>
        <w:t xml:space="preserve"> </w:t>
      </w:r>
      <m:oMath>
        <m:r>
          <m:t>τ</m:t>
        </m:r>
      </m:oMath>
      <w:r>
        <w:t xml:space="preserve"> </w:t>
      </w:r>
      <w:r>
        <w:t xml:space="preserve">misfolding is generated only in the entorhinal cortex. Although the role of EC as the most likely seed region is based on pathological studies by Braak and others, and is widely accepted, this assumption precludes systematic exploration of hypotheses regarding why certain areas serve as seeds in the first place. We report in SI-2 the predictions obtained from seeding the putamen - a region not involved in Alzheimer-type pathology but a common location of frontotemporal and other dementias. In future work we will explore mathematical models that make no assumptions about seed regions. Our previous work (Raj, Kuceyeski, and Weiner 2012) suggests that perhaps network eigenmodes can predispose certain regions to early accumulation of monomeric seeds. Finally, an important area yet to be addressed is, in diseases involving more than one protein species (e.g.</w:t>
      </w:r>
      <w:r>
        <w:t xml:space="preserve"> </w:t>
      </w:r>
      <m:oMath>
        <m:r>
          <m:t>A</m:t>
        </m:r>
        <m:r>
          <m:t>β</m:t>
        </m:r>
      </m:oMath>
      <w:r>
        <w:t xml:space="preserve"> </w:t>
      </w:r>
      <w:r>
        <w:t xml:space="preserve">and</w:t>
      </w:r>
      <w:r>
        <w:t xml:space="preserve"> </w:t>
      </w:r>
      <m:oMath>
        <m:r>
          <m:t>τ</m:t>
        </m:r>
      </m:oMath>
      <w:r>
        <w:t xml:space="preserve"> </w:t>
      </w:r>
      <w:r>
        <w:t xml:space="preserve">in Alzheimer’s disease), how do they interact. Future studies can extend the proposed AND model to multiple proteins, and allow interaction terms between them.</w:t>
      </w:r>
    </w:p>
    <w:p>
      <w:pPr>
        <w:pStyle w:val="Heading1"/>
      </w:pPr>
      <w:bookmarkStart w:id="39" w:name="acknowledgments"/>
      <w:bookmarkEnd w:id="39"/>
      <w:r>
        <w:t xml:space="preserve">Acknowledgments</w:t>
      </w:r>
    </w:p>
    <w:p>
      <w:pPr>
        <w:pStyle w:val="FirstParagraph"/>
      </w:pPr>
      <w:r>
        <w:t xml:space="preserve">AR was supported by NIH grant number R01NS075425. HC, YHR, JYC and CHL were supported by Yonsei University College of Medicine Grant number 6-2015-0076 and National Research Foundation of Korea Grant number 2015R1C1A2A01054507.</w:t>
      </w:r>
    </w:p>
    <w:p>
      <w:pPr>
        <w:pStyle w:val="Heading1"/>
      </w:pPr>
      <w:bookmarkStart w:id="40" w:name="supplementary-information-1-additional-experiments"/>
      <w:bookmarkEnd w:id="40"/>
      <w:r>
        <w:t xml:space="preserve">Supplementary Information 1: Additional Experiments</w:t>
      </w:r>
    </w:p>
    <w:p>
      <w:pPr>
        <w:pStyle w:val="Heading2"/>
      </w:pPr>
      <w:bookmarkStart w:id="41" w:name="effect-of-and-model-parameters-and-choice-of-diffusivity-aggregation-rate-relationships"/>
      <w:bookmarkEnd w:id="41"/>
      <w:r>
        <w:t xml:space="preserve">Effect of AND model parameters and choice of diffusivity / aggregation rate relationships</w:t>
      </w:r>
    </w:p>
    <w:p>
      <w:pPr>
        <w:pStyle w:val="FirstParagraph"/>
      </w:pPr>
      <w:r>
        <w:t xml:space="preserve">Here we explore whether parameter choices strongly affect the match between the AND model and empirical data, an important issue due to the presence of several</w:t>
      </w:r>
      <w:r>
        <w:t xml:space="preserve"> </w:t>
      </w:r>
      <w:r>
        <w:rPr>
          <w:i/>
        </w:rPr>
        <w:t xml:space="preserve">a priori</w:t>
      </w:r>
      <w:r>
        <w:t xml:space="preserve"> </w:t>
      </w:r>
      <w:r>
        <w:t xml:space="preserve">unknown parameters. These results are contained in Figure S1. We selected</w:t>
      </w:r>
      <w:r>
        <w:t xml:space="preserve"> </w:t>
      </w:r>
      <m:oMath>
        <m:r>
          <m:t>3</m:t>
        </m:r>
      </m:oMath>
      <w:r>
        <w:t xml:space="preserve"> </w:t>
      </w:r>
      <w:r>
        <w:t xml:space="preserve">key parameters from the model -</w:t>
      </w:r>
      <w:r>
        <w:t xml:space="preserve"> </w:t>
      </w:r>
      <m:oMath>
        <m:sSub>
          <m:e>
            <m:r>
              <m:t>σ</m:t>
            </m:r>
          </m:e>
          <m:sub>
            <m:r>
              <m:t>a</m:t>
            </m:r>
            <m:r>
              <m:t>g</m:t>
            </m:r>
            <m:r>
              <m:t>g</m:t>
            </m:r>
          </m:sub>
        </m:sSub>
        <m:r>
          <m:t>,</m:t>
        </m:r>
        <m:sSub>
          <m:e>
            <m:r>
              <m:t>σ</m:t>
            </m:r>
          </m:e>
          <m:sub>
            <m:r>
              <m:t>d</m:t>
            </m:r>
            <m:r>
              <m:t>i</m:t>
            </m:r>
            <m:r>
              <m:t>f</m:t>
            </m:r>
            <m:r>
              <m:t>f</m:t>
            </m:r>
          </m:sub>
        </m:sSub>
        <m:r>
          <m:t>,</m:t>
        </m:r>
        <m:sSub>
          <m:e>
            <m:r>
              <m:t>c</m:t>
            </m:r>
          </m:e>
          <m:sub>
            <m:r>
              <m:t>1</m:t>
            </m:r>
          </m:sub>
        </m:sSub>
      </m:oMath>
      <w:r>
        <w:t xml:space="preserve"> </w:t>
      </w:r>
      <w:r>
        <w:t xml:space="preserve">- and kept the network spread rate</w:t>
      </w:r>
      <w:r>
        <w:t xml:space="preserve"> </w:t>
      </w:r>
      <m:oMath>
        <m:sSub>
          <m:e>
            <m:r>
              <m:t>β</m:t>
            </m:r>
          </m:e>
          <m:sub>
            <m:r>
              <m:t>τ</m:t>
            </m:r>
          </m:sub>
        </m:sSub>
      </m:oMath>
      <w:r>
        <w:t xml:space="preserve">,</w:t>
      </w:r>
      <w:r>
        <w:t xml:space="preserve"> </w:t>
      </w:r>
      <m:oMath>
        <m:sSub>
          <m:e>
            <m:r>
              <m:t>c</m:t>
            </m:r>
          </m:e>
          <m:sub>
            <m:r>
              <m:t>2</m:t>
            </m:r>
          </m:sub>
        </m:sSub>
      </m:oMath>
      <w:r>
        <w:t xml:space="preserve"> </w:t>
      </w:r>
      <w:r>
        <w:t xml:space="preserve">and the monomer generation function</w:t>
      </w:r>
      <w:r>
        <w:t xml:space="preserve"> </w:t>
      </w:r>
      <m:oMath>
        <m:sSub>
          <m:e>
            <m:r>
              <m:t>f</m:t>
            </m:r>
          </m:e>
          <m:sub>
            <m:r>
              <m:t>τ</m:t>
            </m:r>
          </m:sub>
        </m:sSub>
      </m:oMath>
      <w:r>
        <w:t xml:space="preserve"> </w:t>
      </w:r>
      <w:r>
        <w:t xml:space="preserve">fixed. Recall that theses relationships are governed by the scale parameters</w:t>
      </w:r>
      <w:r>
        <w:t xml:space="preserve"> </w:t>
      </w:r>
      <m:oMath>
        <m:sSub>
          <m:e>
            <m:r>
              <m:t>σ</m:t>
            </m:r>
          </m:e>
          <m:sub>
            <m:r>
              <m:t>a</m:t>
            </m:r>
            <m:r>
              <m:t>g</m:t>
            </m:r>
            <m:r>
              <m:t>g</m:t>
            </m:r>
          </m:sub>
        </m:sSub>
      </m:oMath>
      <w:r>
        <w:t xml:space="preserve"> </w:t>
      </w:r>
      <w:r>
        <w:t xml:space="preserve">and</w:t>
      </w:r>
      <w:r>
        <w:t xml:space="preserve"> </w:t>
      </w:r>
      <m:oMath>
        <m:sSub>
          <m:e>
            <m:r>
              <m:t>σ</m:t>
            </m:r>
          </m:e>
          <m:sub>
            <m:r>
              <m:t>d</m:t>
            </m:r>
            <m:r>
              <m:t>i</m:t>
            </m:r>
            <m:r>
              <m:t>f</m:t>
            </m:r>
            <m:r>
              <m:t>f</m:t>
            </m:r>
          </m:sub>
        </m:sSub>
      </m:oMath>
      <w:r>
        <w:t xml:space="preserve">, and for convenience we impose</w:t>
      </w:r>
      <w:r>
        <w:t xml:space="preserve"> </w:t>
      </w:r>
      <m:oMath>
        <m:sSub>
          <m:e>
            <m:r>
              <m:t>σ</m:t>
            </m:r>
          </m:e>
          <m:sub>
            <m:r>
              <m:t>a</m:t>
            </m:r>
            <m:r>
              <m:t>g</m:t>
            </m:r>
            <m:r>
              <m:t>g</m:t>
            </m:r>
          </m:sub>
        </m:sSub>
        <m:r>
          <m:t>=</m:t>
        </m:r>
        <m:sSub>
          <m:e>
            <m:r>
              <m:t>σ</m:t>
            </m:r>
          </m:e>
          <m:sub>
            <m:r>
              <m:t>d</m:t>
            </m:r>
            <m:r>
              <m:t>i</m:t>
            </m:r>
            <m:r>
              <m:t>f</m:t>
            </m:r>
            <m:r>
              <m:t>f</m:t>
            </m:r>
          </m:sub>
        </m:sSub>
      </m:oMath>
      <w:r>
        <w:t xml:space="preserve"> </w:t>
      </w:r>
      <w:r>
        <w:t xml:space="preserve">in order to reduce the parameter set by one. For each set of parameter choices, we computed the Pearson’s</w:t>
      </w:r>
      <w:r>
        <w:t xml:space="preserve"> </w:t>
      </w:r>
      <m:oMath>
        <m:r>
          <m:t>R</m:t>
        </m:r>
      </m:oMath>
      <w:r>
        <w:t xml:space="preserve"> </w:t>
      </w:r>
      <w:r>
        <w:t xml:space="preserve">(our preferred similarity metric) between the AND model and group</w:t>
      </w:r>
      <w:r>
        <w:t xml:space="preserve"> </w:t>
      </w:r>
      <m:oMath>
        <m:r>
          <m:t>τ</m:t>
        </m:r>
      </m:oMath>
      <w:r>
        <w:t xml:space="preserve">-PET pattern from the Korean amnestic MCI cohort, chosen for its relevance to the proposed model.</w:t>
      </w:r>
      <w:r>
        <w:t xml:space="preserve"> </w:t>
      </w:r>
      <m:oMath>
        <m:r>
          <m:t>R</m:t>
        </m:r>
      </m:oMath>
      <w:r>
        <w:t xml:space="preserve"> </w:t>
      </w:r>
      <w:r>
        <w:t xml:space="preserve">was calculated at all model times</w:t>
      </w:r>
      <w:r>
        <w:t xml:space="preserve"> </w:t>
      </w:r>
      <m:oMath>
        <m:r>
          <m:t>t</m:t>
        </m:r>
      </m:oMath>
      <w:r>
        <w:t xml:space="preserve">, and the maximum over</w:t>
      </w:r>
      <w:r>
        <w:t xml:space="preserve"> </w:t>
      </w:r>
      <m:oMath>
        <m:r>
          <m:t>t</m:t>
        </m:r>
      </m:oMath>
      <w:r>
        <w:t xml:space="preserve"> </w:t>
      </w:r>
      <w:r>
        <w:t xml:space="preserve">was retained as the model evidence, as has been previously described. Our goal was to assess how strongly model performance depends on parameter choice, and to help select an optimal parameter set. As shown in Figure S1, performance is quite insensitive to a wide range of model parameters, except for the outer limits. We think this might be due to two reasons: a) Pearson’s</w:t>
      </w:r>
      <w:r>
        <w:t xml:space="preserve"> </w:t>
      </w:r>
      <m:oMath>
        <m:r>
          <m:t>R</m:t>
        </m:r>
      </m:oMath>
      <w:r>
        <w:t xml:space="preserve"> </w:t>
      </w:r>
      <w:r>
        <w:t xml:space="preserve">is insensitive to scale and shift changes, and b) almost all model parameters are some sort of time constant, hence by maximizing over all model times, many choices of these parameters will yield similar performance. We repeated this analysis for all</w:t>
      </w:r>
      <w:r>
        <w:t xml:space="preserve"> </w:t>
      </w:r>
      <m:oMath>
        <m:r>
          <m:t>4</m:t>
        </m:r>
      </m:oMath>
      <w:r>
        <w:t xml:space="preserve"> </w:t>
      </w:r>
      <w:r>
        <w:t xml:space="preserve">combinations of model choices, arising from the two definitions of aggregation constants</w:t>
      </w:r>
      <w:r>
        <w:t xml:space="preserve"> </w:t>
      </w:r>
      <m:oMath>
        <m:sSub>
          <m:e>
            <m:r>
              <m:t>a</m:t>
            </m:r>
          </m:e>
          <m:sub>
            <m:r>
              <m:t>m</m:t>
            </m:r>
            <m:r>
              <m:t>j</m:t>
            </m:r>
          </m:sub>
        </m:sSub>
      </m:oMath>
      <w:r>
        <w:t xml:space="preserve"> </w:t>
      </w:r>
      <w:r>
        <w:t xml:space="preserve">and diffusivity rates</w:t>
      </w:r>
      <w:r>
        <w:t xml:space="preserve"> </w:t>
      </w:r>
      <m:oMath>
        <m:sSub>
          <m:e>
            <m:r>
              <m:t>d</m:t>
            </m:r>
          </m:e>
          <m:sub>
            <m:r>
              <m:t>m</m:t>
            </m:r>
          </m:sub>
        </m:sSub>
      </m:oMath>
      <w:r>
        <w:t xml:space="preserve">, defined in Methods section.</w:t>
      </w:r>
    </w:p>
    <w:p>
      <w:pPr>
        <w:pStyle w:val="BodyText"/>
      </w:pPr>
      <w:r>
        <w:t xml:space="preserve">$\begin{array}{ll}
\includegraphics[width=0.4\columnwidth]{figures/SI-param_opt_M1.pdf} &amp;
\includegraphics[width=0.4\columnwidth]{figures/SI-param_opt_M2.pdf}
\end{array}$</w:t>
      </w:r>
      <w:r>
        <w:t xml:space="preserve"> </w:t>
      </w:r>
      <w:r>
        <w:t xml:space="preserve">$\begin{array}{rr}
\includegraphics[width=0.4\columnwidth]{figures/SI-param_opt_M3.pdf} &amp;
\includegraphics[width=0.4\columnwidth]{figures/SI-param_opt_M4.pdf}
\end{array}$</w:t>
      </w:r>
    </w:p>
    <w:p>
      <w:pPr>
        <w:pStyle w:val="Heading2"/>
      </w:pPr>
      <w:bookmarkStart w:id="42" w:name="and-model-with-different-seeding-location-than-entorhinal-cortex"/>
      <w:bookmarkEnd w:id="42"/>
      <w:r>
        <w:t xml:space="preserve">AND Model with different seeding location than Entorhinal cortex</w:t>
      </w:r>
    </w:p>
    <w:p>
      <w:pPr>
        <w:pStyle w:val="FirstParagraph"/>
      </w:pPr>
      <w:r>
        <w:t xml:space="preserve">Here we demonstrate that the AND model does not give better results when seeding it at a location different from entorhinal cortex. When we seed the putamen, which is not known as an early site of AD-related</w:t>
      </w:r>
      <w:r>
        <w:t xml:space="preserve"> </w:t>
      </w:r>
      <m:oMath>
        <m:r>
          <m:t>τ</m:t>
        </m:r>
      </m:oMath>
      <w:r>
        <w:t xml:space="preserve">, we get very different spatial patterning of tau evolution, primarily in the frontal, striatal and orbitofrontal regions – see Figure S1. The model fits poorly to empirical AD and aMCI Korea tau data, as well as to the ADNI atrophy data, both visually and using the quantitative similarity measure (Pearson’s R). Interestingly, putamen seeding matches the Korea tau data of the naMCI cohort, who are MCI subjects who do not display classic AD-like cognitive deficits. This points to an important aspect of early MCI cohorts, in that they exhibit substantial inter-subject heterogeneity, which is actually higher when looking at their likely seed regions, as demonstrated in our pervious publication (Torok et al. 2018). Although putamen seeding gives a good match for tau in early disease, it fails at al stages when predicting atrophy in the ADNI cohorts. This might be due to the fact that atrophy is downstream of tau, hence the etiologic heterogeneity evident in the above tau fit is not apparent in the atrophy fit.</w:t>
      </w:r>
    </w:p>
    <w:p>
      <w:pPr>
        <w:pStyle w:val="FigureWithCaption"/>
      </w:pPr>
      <w:r>
        <w:drawing>
          <wp:inline>
            <wp:extent cx="3810000" cy="2540000"/>
            <wp:effectExtent b="0" l="0" r="0" t="0"/>
            <wp:docPr descr="Figure S2: Glass brain rendering of theoretical AND-predicted regional \tau distribution seeded at the putamen (left column) and its comparison with empirical \tau measured from regional AV1451-PET scans of patients (middle column) and regional atrophy obtained from a different cohort of patients in the ADNI study (right column). Similarity scores (Pearson’s R) between the model and empirical data are shown as a function of model time t in the top row (green = naMCI and EMCI; red = aMCI and LMCI; blue = AD). The AND model seeded at the putamen is not a good model of \tau patterns in the AD, LMCI or aMCI groups, but gives a surprising correlation with the (non-amnestic) MCI group. " title="" id="1" name="Picture"/>
            <a:graphic>
              <a:graphicData uri="http://schemas.openxmlformats.org/drawingml/2006/picture">
                <pic:pic>
                  <pic:nvPicPr>
                    <pic:cNvPr descr="figures/figS1.pdf" id="0" name="Picture"/>
                    <pic:cNvPicPr>
                      <a:picLocks noChangeArrowheads="1" noChangeAspect="1"/>
                    </pic:cNvPicPr>
                  </pic:nvPicPr>
                  <pic:blipFill>
                    <a:blip r:embed="rId43"/>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Figure S2: Glass brain rendering of theoretical AND-predicted regional</w:t>
      </w:r>
      <w:r>
        <w:t xml:space="preserve"> </w:t>
      </w:r>
      <m:oMath>
        <m:r>
          <m:t>τ</m:t>
        </m:r>
      </m:oMath>
      <w:r>
        <w:t xml:space="preserve"> </w:t>
      </w:r>
      <w:r>
        <w:t xml:space="preserve">distribution seeded at the putamen (left column) and its comparison with empirical</w:t>
      </w:r>
      <w:r>
        <w:t xml:space="preserve"> </w:t>
      </w:r>
      <m:oMath>
        <m:r>
          <m:t>τ</m:t>
        </m:r>
      </m:oMath>
      <w:r>
        <w:t xml:space="preserve"> </w:t>
      </w:r>
      <w:r>
        <w:t xml:space="preserve">measured from regional AV1451-PET scans of patients (middle column) and regional atrophy obtained from a different cohort of patients in the ADNI study (right column). Similarity scores (Pearson’s R) between the model and empirical data are shown as a function of model time</w:t>
      </w:r>
      <w:r>
        <w:t xml:space="preserve"> </w:t>
      </w:r>
      <m:oMath>
        <m:r>
          <m:t>t</m:t>
        </m:r>
      </m:oMath>
      <w:r>
        <w:t xml:space="preserve"> </w:t>
      </w:r>
      <w:r>
        <w:t xml:space="preserve">in the top row (green = naMCI and EMCI; red = aMCI and LMCI; blue = AD). The AND model seeded at the putamen is not a good model of</w:t>
      </w:r>
      <w:r>
        <w:t xml:space="preserve"> </w:t>
      </w:r>
      <m:oMath>
        <m:r>
          <m:t>τ</m:t>
        </m:r>
      </m:oMath>
      <w:r>
        <w:t xml:space="preserve"> </w:t>
      </w:r>
      <w:r>
        <w:t xml:space="preserve">patterns in the AD, LMCI or aMCI groups, but gives a surprising correlation with the (non-amnestic) MCI group.</w:t>
      </w:r>
      <w:r>
        <w:t xml:space="preserve"> </w:t>
      </w:r>
    </w:p>
    <w:p>
      <w:pPr>
        <w:pStyle w:val="Heading1"/>
      </w:pPr>
      <w:bookmarkStart w:id="44" w:name="supplementary-information-2-notation-and-theory"/>
      <w:bookmarkEnd w:id="44"/>
      <w:r>
        <w:t xml:space="preserve">Supplementary Information 2: Notation and Theory</w:t>
      </w:r>
    </w:p>
    <w:p>
      <w:pPr>
        <w:pStyle w:val="Heading2"/>
      </w:pPr>
      <w:bookmarkStart w:id="45" w:name="anatomic-connectivity-graph"/>
      <w:bookmarkEnd w:id="45"/>
      <w:r>
        <w:t xml:space="preserve">Anatomic connectivity graph</w:t>
      </w:r>
    </w:p>
    <w:p>
      <w:pPr>
        <w:pStyle w:val="FirstParagraph"/>
      </w:pPr>
      <w:r>
        <w:t xml:space="preserve">Following the approach proposed in (Raj, Kuceyeski, and Weiner 2012), we represent the human brain by means of a finite weighted graph</w:t>
      </w:r>
      <w:r>
        <w:t xml:space="preserve"> </w:t>
      </w:r>
      <m:oMath>
        <m:r>
          <m:t>Γ</m:t>
        </m:r>
        <m:r>
          <m:t>=</m:t>
        </m:r>
        <m:r>
          <m:t>{</m:t>
        </m:r>
        <m:r>
          <m:t>V</m:t>
        </m:r>
        <m:r>
          <m:t>(</m:t>
        </m:r>
        <m:r>
          <m:t>Γ</m:t>
        </m:r>
        <m:r>
          <m:t>)</m:t>
        </m:r>
        <m:r>
          <m:t>,</m:t>
        </m:r>
        <m:r>
          <m:t>E</m:t>
        </m:r>
        <m:r>
          <m:t>(</m:t>
        </m:r>
        <m:r>
          <m:t>Γ</m:t>
        </m:r>
        <m:r>
          <m:t>)</m:t>
        </m:r>
        <m:r>
          <m:t>}</m:t>
        </m:r>
      </m:oMath>
      <w:r>
        <w:t xml:space="preserve">, in which the vertices</w:t>
      </w:r>
      <w:r>
        <w:t xml:space="preserve"> </w:t>
      </w:r>
      <m:oMath>
        <m:sSub>
          <m:e>
            <m:r>
              <m:rPr>
                <m:sty m:val="b"/>
              </m:rPr>
              <m:t>v</m:t>
            </m:r>
          </m:e>
          <m:sub>
            <m:r>
              <m:t>i</m:t>
            </m:r>
          </m:sub>
        </m:sSub>
        <m:r>
          <m:t>∈</m:t>
        </m:r>
        <m:r>
          <m:t>V</m:t>
        </m:r>
        <m:r>
          <m:t>(</m:t>
        </m:r>
        <m:r>
          <m:t>Γ</m:t>
        </m:r>
        <m:r>
          <m:t>)</m:t>
        </m:r>
        <m:r>
          <m:t>=</m:t>
        </m:r>
        <m:r>
          <m:t>{</m:t>
        </m:r>
        <m:sSub>
          <m:e>
            <m:r>
              <m:rPr>
                <m:sty m:val="b"/>
              </m:rPr>
              <m:t>v</m:t>
            </m:r>
          </m:e>
          <m:sub>
            <m:r>
              <m:t>1</m:t>
            </m:r>
          </m:sub>
        </m:sSub>
        <m:r>
          <m:t>,</m:t>
        </m:r>
        <m:r>
          <m:t>.</m:t>
        </m:r>
        <m:r>
          <m:t>.</m:t>
        </m:r>
        <m:r>
          <m:t>,</m:t>
        </m:r>
        <m:sSub>
          <m:e>
            <m:r>
              <m:rPr>
                <m:sty m:val="b"/>
              </m:rPr>
              <m:t>v</m:t>
            </m:r>
          </m:e>
          <m:sub>
            <m:r>
              <m:t>h</m:t>
            </m:r>
          </m:sub>
        </m:sSub>
        <m:r>
          <m:t>}</m:t>
        </m:r>
      </m:oMath>
      <w:r>
        <w:t xml:space="preserve"> </w:t>
      </w:r>
      <w:r>
        <w:t xml:space="preserve">represent the</w:t>
      </w:r>
      <w:r>
        <w:t xml:space="preserve"> </w:t>
      </w:r>
      <m:oMath>
        <m:r>
          <m:t>i</m:t>
        </m:r>
      </m:oMath>
      <w:r>
        <w:t xml:space="preserve">-th cortical or subcortical gray matter structure, while the edges</w:t>
      </w:r>
      <w:r>
        <w:t xml:space="preserve"> </w:t>
      </w:r>
      <m:oMath>
        <m:sSub>
          <m:e>
            <m:r>
              <m:t>e</m:t>
            </m:r>
          </m:e>
          <m:sub>
            <m:r>
              <m:t>i</m:t>
            </m:r>
            <m:r>
              <m:t>,</m:t>
            </m:r>
            <m:r>
              <m:t>j</m:t>
            </m:r>
          </m:sub>
        </m:sSub>
        <m:r>
          <m:t>∈</m:t>
        </m:r>
        <m:r>
          <m:t>E</m:t>
        </m:r>
        <m:r>
          <m:t>(</m:t>
        </m:r>
        <m:r>
          <m:t>Γ</m:t>
        </m:r>
        <m:r>
          <m:t>)</m:t>
        </m:r>
      </m:oMath>
      <w:r>
        <w:t xml:space="preserve"> </w:t>
      </w:r>
      <w:r>
        <w:t xml:space="preserve">represent the connections by white-matter fiber pathways between the</w:t>
      </w:r>
      <w:r>
        <w:t xml:space="preserve"> </w:t>
      </w:r>
      <m:oMath>
        <m:r>
          <m:t>i</m:t>
        </m:r>
      </m:oMath>
      <w:r>
        <w:t xml:space="preserve">-th structure and the</w:t>
      </w:r>
      <w:r>
        <w:t xml:space="preserve"> </w:t>
      </w:r>
      <m:oMath>
        <m:r>
          <m:t>j</m:t>
        </m:r>
      </m:oMath>
      <w:r>
        <w:t xml:space="preserve">-th structure. Coherently, we introduce a family of coefficients</w:t>
      </w:r>
      <w:r>
        <w:t xml:space="preserve"> </w:t>
      </w:r>
      <m:oMath>
        <m:sSub>
          <m:e>
            <m:r>
              <m:t>c</m:t>
            </m:r>
          </m:e>
          <m:sub>
            <m:r>
              <m:t>i</m:t>
            </m:r>
            <m:r>
              <m:t>,</m:t>
            </m:r>
            <m:r>
              <m:t>j</m:t>
            </m:r>
          </m:sub>
        </m:sSub>
        <m:r>
          <m:t>&gt;</m:t>
        </m:r>
        <m:r>
          <m:t>0</m:t>
        </m:r>
      </m:oMath>
      <w:r>
        <w:t xml:space="preserve"> </w:t>
      </w:r>
      <w:r>
        <w:t xml:space="preserve">that measure “how much</w:t>
      </w:r>
      <w:r>
        <w:t xml:space="preserve">“</w:t>
      </w:r>
      <w:r>
        <w:t xml:space="preserve"> </w:t>
      </w:r>
      <w:r>
        <w:t xml:space="preserve">the</w:t>
      </w:r>
      <w:r>
        <w:t xml:space="preserve"> </w:t>
      </w:r>
      <m:oMath>
        <m:r>
          <m:t>i</m:t>
        </m:r>
      </m:oMath>
      <w:r>
        <w:t xml:space="preserve">-th structure and the</w:t>
      </w:r>
      <w:r>
        <w:t xml:space="preserve"> </w:t>
      </w:r>
      <m:oMath>
        <m:r>
          <m:t>j</m:t>
        </m:r>
      </m:oMath>
      <w:r>
        <w:t xml:space="preserve">-th structure are connected. The coefficients</w:t>
      </w:r>
      <w:r>
        <w:t xml:space="preserve"> </w:t>
      </w:r>
      <m:oMath>
        <m:sSub>
          <m:e>
            <m:r>
              <m:t>c</m:t>
            </m:r>
          </m:e>
          <m:sub>
            <m:r>
              <m:t>i</m:t>
            </m:r>
            <m:r>
              <m:t>,</m:t>
            </m:r>
            <m:r>
              <m:t>j</m:t>
            </m:r>
          </m:sub>
        </m:sSub>
      </m:oMath>
      <w:r>
        <w:t xml:space="preserve"> </w:t>
      </w:r>
      <w:r>
        <w:t xml:space="preserve">are said the</w:t>
      </w:r>
      <w:r>
        <w:t xml:space="preserve"> </w:t>
      </w:r>
      <w:r>
        <w:t xml:space="preserve">”</w:t>
      </w:r>
      <w:r>
        <w:t xml:space="preserve">connectivity weights" of the graph</w:t>
      </w:r>
      <w:r>
        <w:t xml:space="preserve"> </w:t>
      </w:r>
      <m:oMath>
        <m:r>
          <m:t>Γ</m:t>
        </m:r>
      </m:oMath>
      <w:r>
        <w:t xml:space="preserve">. In this way we build a</w:t>
      </w:r>
      <w:r>
        <w:t xml:space="preserve"> </w:t>
      </w:r>
      <w:r>
        <w:t xml:space="preserve">“</w:t>
      </w:r>
      <w:r>
        <w:t xml:space="preserve">brain network</w:t>
      </w:r>
      <w:r>
        <w:t xml:space="preserve">”</w:t>
      </w:r>
      <w:r>
        <w:t xml:space="preserve"> </w:t>
      </w:r>
      <w:r>
        <w:t xml:space="preserve">in which the vertices</w:t>
      </w:r>
      <w:r>
        <w:t xml:space="preserve"> </w:t>
      </w:r>
      <m:oMath>
        <m:sSub>
          <m:e>
            <m:r>
              <m:rPr>
                <m:sty m:val="b"/>
              </m:rPr>
              <m:t>v</m:t>
            </m:r>
          </m:e>
          <m:sub>
            <m:r>
              <m:t>i</m:t>
            </m:r>
          </m:sub>
        </m:sSub>
      </m:oMath>
      <w:r>
        <w:t xml:space="preserve"> </w:t>
      </w:r>
      <w:r>
        <w:t xml:space="preserve">comes from the parcellation of brain MRI and the connectivities</w:t>
      </w:r>
      <w:r>
        <w:t xml:space="preserve"> </w:t>
      </w:r>
      <m:oMath>
        <m:sSub>
          <m:e>
            <m:r>
              <m:t>c</m:t>
            </m:r>
          </m:e>
          <m:sub>
            <m:r>
              <m:t>i</m:t>
            </m:r>
            <m:r>
              <m:t>,</m:t>
            </m:r>
            <m:r>
              <m:t>j</m:t>
            </m:r>
          </m:sub>
        </m:sSub>
      </m:oMath>
      <w:r>
        <w:t xml:space="preserve"> </w:t>
      </w:r>
      <w:r>
        <w:t xml:space="preserve">are measured by fiber tractography (see Methods). On this graph we define the so called graph Laplacian</w:t>
      </w:r>
      <w:r>
        <w:t xml:space="preserve"> </w:t>
      </w:r>
      <m:oMath>
        <m:sSub>
          <m:e>
            <m:r>
              <m:t>Δ</m:t>
            </m:r>
          </m:e>
          <m:sub>
            <m:r>
              <m:t>Γ</m:t>
            </m:r>
          </m:sub>
        </m:sSub>
      </m:oMath>
      <w:r>
        <w:t xml:space="preserve"> </w:t>
      </w:r>
      <w:r>
        <w:t xml:space="preserve">denoted as the</w:t>
      </w:r>
      <w:r>
        <w:t xml:space="preserve"> </w:t>
      </w:r>
      <w:r>
        <w:rPr>
          <w:i/>
        </w:rPr>
        <w:t xml:space="preserve">positive</w:t>
      </w:r>
      <w:r>
        <w:t xml:space="preserve"> </w:t>
      </w:r>
      <w:r>
        <w:t xml:space="preserve">weighted Laplacian associated with the graph</w:t>
      </w:r>
      <w:r>
        <w:t xml:space="preserve"> </w:t>
      </w:r>
      <m:oMath>
        <m:r>
          <m:t>Γ</m:t>
        </m:r>
      </m:oMath>
      <w:r>
        <w:t xml:space="preserve">, defined as</w:t>
      </w:r>
    </w:p>
    <w:p>
      <w:pPr>
        <w:pStyle w:val="BodyText"/>
      </w:pPr>
      <m:oMathPara>
        <m:oMathParaPr>
          <m:jc m:val="center"/>
        </m:oMathParaPr>
        <m:oMath>
          <m:sSub>
            <m:e>
              <m:r>
                <m:t>Δ</m:t>
              </m:r>
            </m:e>
            <m:sub>
              <m:r>
                <m:t>Γ</m:t>
              </m:r>
            </m:sub>
          </m:sSub>
          <m:r>
            <m:t>=</m:t>
          </m:r>
          <m:r>
            <m:t>I</m:t>
          </m:r>
          <m:r>
            <m:t>−</m:t>
          </m:r>
          <m:sSup>
            <m:e>
              <m:r>
                <m:t>D</m:t>
              </m:r>
            </m:e>
            <m:sup>
              <m:r>
                <m:t>−</m:t>
              </m:r>
              <m:f>
                <m:fPr>
                  <m:type m:val="bar"/>
                </m:fPr>
                <m:num>
                  <m:r>
                    <m:t>1</m:t>
                  </m:r>
                </m:num>
                <m:den>
                  <m:r>
                    <m:t>2</m:t>
                  </m:r>
                </m:den>
              </m:f>
            </m:sup>
          </m:sSup>
          <m:r>
            <m:t>C</m:t>
          </m:r>
          <m:sSup>
            <m:e>
              <m:r>
                <m:t>D</m:t>
              </m:r>
            </m:e>
            <m:sup>
              <m:r>
                <m:t>−</m:t>
              </m:r>
              <m:f>
                <m:fPr>
                  <m:type m:val="bar"/>
                </m:fPr>
                <m:num>
                  <m:r>
                    <m:t>1</m:t>
                  </m:r>
                </m:num>
                <m:den>
                  <m:r>
                    <m:t>2</m:t>
                  </m:r>
                </m:den>
              </m:f>
            </m:sup>
          </m:sSup>
        </m:oMath>
      </m:oMathPara>
    </w:p>
    <w:p>
      <w:pPr>
        <w:pStyle w:val="FirstParagraph"/>
      </w:pPr>
      <w:r>
        <w:t xml:space="preserve">where</w:t>
      </w:r>
      <w:r>
        <w:t xml:space="preserve"> </w:t>
      </w:r>
      <m:oMath>
        <m:r>
          <m:t>C</m:t>
        </m:r>
      </m:oMath>
      <w:r>
        <w:t xml:space="preserve"> </w:t>
      </w:r>
      <w:r>
        <w:t xml:space="preserve">is the connectivity matrix and</w:t>
      </w:r>
      <w:r>
        <w:t xml:space="preserve"> </w:t>
      </w:r>
      <m:oMath>
        <m:r>
          <m:t>D</m:t>
        </m:r>
      </m:oMath>
      <w:r>
        <w:t xml:space="preserve"> </w:t>
      </w:r>
      <w:r>
        <w:t xml:space="preserve">is the diagonal matrix of node degree. Note there are many variants of Laplacians, and the above is one of them. As we have argued before, this definition enforces row and column normalization of the Laplacian, which makes the model insensitive to variances in region size and node degree (Torok et al. 2018).</w:t>
      </w:r>
    </w:p>
    <w:p>
      <w:pPr>
        <w:pStyle w:val="Heading2"/>
      </w:pPr>
      <w:bookmarkStart w:id="46" w:name="smoluchowski-aggregation-theory"/>
      <w:bookmarkEnd w:id="46"/>
      <w:r>
        <w:t xml:space="preserve">Smoluchowski aggregation theory</w:t>
      </w:r>
    </w:p>
    <w:p>
      <w:pPr>
        <w:pStyle w:val="FirstParagraph"/>
      </w:pPr>
      <w:r>
        <w:t xml:space="preserve">Following the the model studied in (Achdou et al. 2013; Bertsch et al. 2017; Franchi and Lorenzani 2016; Franchi and Lorenzani 2017), we describe the aggregation of the</w:t>
      </w:r>
      <w:r>
        <w:t xml:space="preserve"> </w:t>
      </w:r>
      <m:oMath>
        <m:r>
          <m:t>τ</m:t>
        </m:r>
      </m:oMath>
      <w:r>
        <w:t xml:space="preserve">-polymers by means of Smoluchowski equation, following previous treatment in (Murphy and Pallitto 2000; Achdou et al. 2013) for</w:t>
      </w:r>
      <w:r>
        <w:t xml:space="preserve"> </w:t>
      </w:r>
      <m:oMath>
        <m:r>
          <m:t>A</m:t>
        </m:r>
        <m:r>
          <m:t>β</m:t>
        </m:r>
      </m:oMath>
      <w:r>
        <w:t xml:space="preserve">. Originally, in (Smoluchowski 1917) Smoluchowski introduced a system of infinite discrete differential equations (without diffusion) for the study of rapid coagulation of aerosols. Smoluchowski’s theory was successively extended to cover different physical situations. In fact, this type of equations, describing the evolving densities of diffusing particles that are prone to coagulate in pairs, models various physical phenomena, such as, e.g. polymerization, aggregation of colloidal particles, formation of stars and planets as well as biological populations, behavior of fuel mixtures in engines. We refer to (Drake 1972) for a exhaustive historical account. As far as we know, Smoluchowski equation first appears in the description of the agglomeration of A</w:t>
      </w:r>
      <m:oMath>
        <m:r>
          <m:t>β</m:t>
        </m:r>
      </m:oMath>
      <w:r>
        <w:t xml:space="preserve"> </w:t>
      </w:r>
      <w:r>
        <w:t xml:space="preserve">amyloid in (Murphy and Pallitto 2000) and then in (Achdou et al. 2013).</w:t>
      </w:r>
    </w:p>
    <w:p>
      <w:pPr>
        <w:pStyle w:val="BodyText"/>
      </w:pPr>
      <w:r>
        <w:t xml:space="preserve">For</w:t>
      </w:r>
      <w:r>
        <w:t xml:space="preserve"> </w:t>
      </w:r>
      <m:oMath>
        <m:r>
          <m:t>k</m:t>
        </m:r>
        <m:r>
          <m:t>∈</m:t>
        </m:r>
        <m:r>
          <m:rPr>
            <m:sty m:val="p"/>
            <m:scr m:val="double-struck"/>
          </m:rPr>
          <m:t>N</m:t>
        </m:r>
      </m:oMath>
      <w:r>
        <w:t xml:space="preserve">, let</w:t>
      </w:r>
      <w:r>
        <w:t xml:space="preserve"> </w:t>
      </w:r>
      <m:oMath>
        <m:sSub>
          <m:e>
            <m:r>
              <m:t>P</m:t>
            </m:r>
          </m:e>
          <m:sub>
            <m:r>
              <m:t>k</m:t>
            </m:r>
          </m:sub>
        </m:sSub>
      </m:oMath>
      <w:r>
        <w:t xml:space="preserve"> </w:t>
      </w:r>
      <w:r>
        <w:t xml:space="preserve">denote a polymer of length</w:t>
      </w:r>
      <w:r>
        <w:t xml:space="preserve"> </w:t>
      </w:r>
      <m:oMath>
        <m:r>
          <m:t>k</m:t>
        </m:r>
      </m:oMath>
      <w:r>
        <w:t xml:space="preserve">, that is a set of</w:t>
      </w:r>
      <w:r>
        <w:t xml:space="preserve"> </w:t>
      </w:r>
      <m:oMath>
        <m:r>
          <m:t>k</m:t>
        </m:r>
      </m:oMath>
      <w:r>
        <w:t xml:space="preserve"> </w:t>
      </w:r>
      <w:r>
        <w:t xml:space="preserve">identical particles (monomers) that is clustered but free to move collectively in a given medium. In previous usage in (Achdou et al. 2013), (Bertsch et al. 2017), (Franchi and Lorenzani 2016),</w:t>
      </w:r>
      <w:r>
        <w:t xml:space="preserve"> </w:t>
      </w:r>
      <m:oMath>
        <m:sSub>
          <m:e>
            <m:r>
              <m:t>P</m:t>
            </m:r>
          </m:e>
          <m:sub>
            <m:r>
              <m:t>k</m:t>
            </m:r>
          </m:sub>
        </m:sSub>
      </m:oMath>
      <w:r>
        <w:t xml:space="preserve"> </w:t>
      </w:r>
      <w:r>
        <w:t xml:space="preserve">is a</w:t>
      </w:r>
      <w:r>
        <w:t xml:space="preserve"> </w:t>
      </w:r>
      <m:oMath>
        <m:r>
          <m:t>A</m:t>
        </m:r>
        <m:r>
          <m:t>β</m:t>
        </m:r>
      </m:oMath>
      <w:r>
        <w:t xml:space="preserve">-polymer of length</w:t>
      </w:r>
      <w:r>
        <w:t xml:space="preserve"> </w:t>
      </w:r>
      <m:oMath>
        <m:r>
          <m:t>k</m:t>
        </m:r>
      </m:oMath>
      <w:r>
        <w:t xml:space="preserve">; here we will reformulate this for</w:t>
      </w:r>
      <w:r>
        <w:t xml:space="preserve"> </w:t>
      </w:r>
      <m:oMath>
        <m:r>
          <m:t>τ</m:t>
        </m:r>
      </m:oMath>
      <w:r>
        <w:t xml:space="preserve">. In the course of time polymers diffuse and, if they approach each other</w:t>
      </w:r>
      <w:r>
        <w:t xml:space="preserve"> </w:t>
      </w:r>
      <w:r>
        <w:t xml:space="preserve">sufficiently close, with some probability they merge into a single polymer whose size equals the sum of the sizes of the two colliding polymers. By convention, we admit only binary reactions. This phenomenon is called coalescence and we write formally</w:t>
      </w:r>
    </w:p>
    <w:p>
      <w:pPr>
        <w:pStyle w:val="BodyText"/>
      </w:pPr>
      <m:oMathPara>
        <m:oMathParaPr>
          <m:jc m:val="center"/>
        </m:oMathParaPr>
        <m:oMath>
          <m:sSub>
            <m:e>
              <m:r>
                <m:t>P</m:t>
              </m:r>
            </m:e>
            <m:sub>
              <m:r>
                <m:t>k</m:t>
              </m:r>
            </m:sub>
          </m:sSub>
          <m:r>
            <m:t>+</m:t>
          </m:r>
          <m:sSub>
            <m:e>
              <m:r>
                <m:t>P</m:t>
              </m:r>
            </m:e>
            <m:sub>
              <m:r>
                <m:t>j</m:t>
              </m:r>
            </m:sub>
          </m:sSub>
          <m:r>
            <m:t>→</m:t>
          </m:r>
          <m:sSub>
            <m:e>
              <m:r>
                <m:t>P</m:t>
              </m:r>
            </m:e>
            <m:sub>
              <m:r>
                <m:t>k</m:t>
              </m:r>
              <m:r>
                <m:t>+</m:t>
              </m:r>
              <m:r>
                <m:t>j</m:t>
              </m:r>
            </m:sub>
          </m:sSub>
          <m:r>
            <m:t>,</m:t>
          </m:r>
        </m:oMath>
      </m:oMathPara>
    </w:p>
    <w:p>
      <w:pPr>
        <w:pStyle w:val="FirstParagraph"/>
      </w:pPr>
      <w:r>
        <w:t xml:space="preserve">for the coalescence of a polymer of size</w:t>
      </w:r>
      <w:r>
        <w:t xml:space="preserve"> </w:t>
      </w:r>
      <m:oMath>
        <m:r>
          <m:t>k</m:t>
        </m:r>
      </m:oMath>
      <w:r>
        <w:t xml:space="preserve"> </w:t>
      </w:r>
      <w:r>
        <w:t xml:space="preserve">with a polymer of size</w:t>
      </w:r>
      <w:r>
        <w:t xml:space="preserve"> </w:t>
      </w:r>
      <m:oMath>
        <m:r>
          <m:t>j</m:t>
        </m:r>
      </m:oMath>
      <w:r>
        <w:t xml:space="preserve">.</w:t>
      </w:r>
      <w:r>
        <w:t xml:space="preserve"> </w:t>
      </w:r>
      <w:r>
        <w:t xml:space="preserve">For sake of simplicity, polymer diffusion is assumed to result only from Brownian movement or diffusion (thermal coagulation). Under these assumptions, the discrete diffusive coagulation of a polymer</w:t>
      </w:r>
      <w:r>
        <w:t xml:space="preserve"> </w:t>
      </w:r>
      <m:oMath>
        <m:sSub>
          <m:e>
            <m:r>
              <m:t>u</m:t>
            </m:r>
          </m:e>
          <m:sub>
            <m:r>
              <m:t>m</m:t>
            </m:r>
          </m:sub>
        </m:sSub>
        <m:r>
          <m:t>(</m:t>
        </m:r>
        <m:r>
          <m:t>x</m:t>
        </m:r>
        <m:r>
          <m:t>,</m:t>
        </m:r>
        <m:r>
          <m:t>t</m:t>
        </m:r>
        <m:r>
          <m:t>)</m:t>
        </m:r>
        <m:r>
          <m:t>≥</m:t>
        </m:r>
        <m:r>
          <m:t>0</m:t>
        </m:r>
      </m:oMath>
      <w:r>
        <w:t xml:space="preserve"> </w:t>
      </w:r>
      <w:r>
        <w:t xml:space="preserve">of size</w:t>
      </w:r>
      <w:r>
        <w:t xml:space="preserve"> </w:t>
      </w:r>
      <w:r>
        <w:t xml:space="preserve">$m \in \mathbb N$</w:t>
      </w:r>
      <w:r>
        <w:t xml:space="preserve"> </w:t>
      </w:r>
      <w:r>
        <w:t xml:space="preserve">is given under suitable initial and boundary conditions by</w:t>
      </w:r>
    </w:p>
    <w:p>
      <w:pPr>
        <w:pStyle w:val="BodyText"/>
      </w:pPr>
      <m:oMathPara>
        <m:oMathParaPr>
          <m:jc m:val="center"/>
        </m:oMathParaPr>
        <m:oMath>
          <m:f>
            <m:fPr>
              <m:type m:val="bar"/>
            </m:fPr>
            <m:num>
              <m:r>
                <m:t>∂</m:t>
              </m:r>
              <m:sSub>
                <m:e>
                  <m:r>
                    <m:t>u</m:t>
                  </m:r>
                </m:e>
                <m:sub>
                  <m:r>
                    <m:t>m</m:t>
                  </m:r>
                </m:sub>
              </m:sSub>
            </m:num>
            <m:den>
              <m:r>
                <m:t>∂</m:t>
              </m:r>
              <m:r>
                <m:t>t</m:t>
              </m:r>
            </m:den>
          </m:f>
          <m:r>
            <m:t>(</m:t>
          </m:r>
          <m:r>
            <m:t>x</m:t>
          </m:r>
          <m:r>
            <m:t>,</m:t>
          </m:r>
          <m:r>
            <m:t>t</m:t>
          </m:r>
          <m:r>
            <m:t>)</m:t>
          </m:r>
          <m:r>
            <m:t>−</m:t>
          </m:r>
          <m:sSub>
            <m:e>
              <m:r>
                <m:t>d</m:t>
              </m:r>
            </m:e>
            <m:sub>
              <m:r>
                <m:t>m</m:t>
              </m:r>
            </m:sub>
          </m:sSub>
          <m:r>
            <m:t> </m:t>
          </m:r>
          <m:sSub>
            <m:e>
              <m:r>
                <m:t>△</m:t>
              </m:r>
            </m:e>
            <m:sub>
              <m:r>
                <m:t>x</m:t>
              </m:r>
            </m:sub>
          </m:sSub>
          <m:sSub>
            <m:e>
              <m:r>
                <m:t>u</m:t>
              </m:r>
            </m:e>
            <m:sub>
              <m:r>
                <m:t>m</m:t>
              </m:r>
            </m:sub>
          </m:sSub>
          <m:r>
            <m:t>(</m:t>
          </m:r>
          <m:r>
            <m:t>x</m:t>
          </m:r>
          <m:r>
            <m:t>,</m:t>
          </m:r>
          <m:r>
            <m:t>t</m:t>
          </m:r>
          <m:r>
            <m:t>)</m:t>
          </m:r>
          <m:r>
            <m:t>=</m:t>
          </m:r>
          <m:sSub>
            <m:e>
              <m:r>
                <m:t>Q</m:t>
              </m:r>
            </m:e>
            <m:sub>
              <m:r>
                <m:t>m</m:t>
              </m:r>
            </m:sub>
          </m:sSub>
          <m:r>
            <m:t>(</m:t>
          </m:r>
          <m:r>
            <m:t>u</m:t>
          </m:r>
          <m:r>
            <m:t>)</m:t>
          </m:r>
          <m:r>
            <m:t> </m:t>
          </m:r>
          <m:r>
            <m:t> </m:t>
          </m:r>
          <m:r>
            <m:t> </m:t>
          </m:r>
          <m:r>
            <m:t> </m:t>
          </m:r>
          <m:r>
            <m:t> </m:t>
          </m:r>
          <m:r>
            <m:rPr>
              <m:sty m:val="p"/>
            </m:rPr>
            <m:t>in </m:t>
          </m:r>
          <m:r>
            <m:t>[</m:t>
          </m:r>
          <m:r>
            <m:t>0</m:t>
          </m:r>
          <m:r>
            <m:t>,</m:t>
          </m:r>
          <m:r>
            <m:t>T</m:t>
          </m:r>
          <m:r>
            <m:t>]</m:t>
          </m:r>
          <m:r>
            <m:t>×</m:t>
          </m:r>
          <m:r>
            <m:t>Ω</m:t>
          </m:r>
          <m:r>
            <m:t>,</m:t>
          </m:r>
        </m:oMath>
      </m:oMathPara>
    </w:p>
    <w:p>
      <w:pPr>
        <w:pStyle w:val="FirstParagraph"/>
      </w:pPr>
      <w:r>
        <w:t xml:space="preserve">where the second term represents spatial diffusion, and the third term represents the net gain/loss of polymer due to aggregation</w:t>
      </w:r>
      <w:r>
        <w:t xml:space="preserve"> </w:t>
      </w:r>
      <m:oMath>
        <m:sSub>
          <m:e>
            <m:r>
              <m:t>Q</m:t>
            </m:r>
          </m:e>
          <m:sub>
            <m:r>
              <m:t>m</m:t>
            </m:r>
          </m:sub>
        </m:sSub>
        <m:r>
          <m:t>(</m:t>
        </m:r>
        <m:r>
          <m:t>u</m:t>
        </m:r>
        <m:r>
          <m:t>)</m:t>
        </m:r>
        <m:r>
          <m:t>=</m:t>
        </m:r>
        <m:sSub>
          <m:e>
            <m:r>
              <m:t>Q</m:t>
            </m:r>
          </m:e>
          <m:sub>
            <m:r>
              <m:t>g</m:t>
            </m:r>
            <m:r>
              <m:t>,</m:t>
            </m:r>
            <m:r>
              <m:t>m</m:t>
            </m:r>
          </m:sub>
        </m:sSub>
        <m:r>
          <m:t>(</m:t>
        </m:r>
        <m:r>
          <m:t>u</m:t>
        </m:r>
        <m:r>
          <m:t>)</m:t>
        </m:r>
        <m:r>
          <m:t>−</m:t>
        </m:r>
        <m:sSub>
          <m:e>
            <m:r>
              <m:t>Q</m:t>
            </m:r>
          </m:e>
          <m:sub>
            <m:r>
              <m:t>l</m:t>
            </m:r>
            <m:r>
              <m:t>,</m:t>
            </m:r>
            <m:r>
              <m:t>m</m:t>
            </m:r>
          </m:sub>
        </m:sSub>
        <m:r>
          <m:t>(</m:t>
        </m:r>
        <m:r>
          <m:t>u</m:t>
        </m:r>
        <m:r>
          <m:t>)</m:t>
        </m:r>
        <m:r>
          <m:t>,</m:t>
        </m:r>
        <m:r>
          <m:t> </m:t>
        </m:r>
        <m:r>
          <m:t>m</m:t>
        </m:r>
        <m:r>
          <m:t>≥</m:t>
        </m:r>
        <m:r>
          <m:t>1</m:t>
        </m:r>
      </m:oMath>
      <w:r>
        <w:t xml:space="preserve">, with the gain (</w:t>
      </w:r>
      <m:oMath>
        <m:sSub>
          <m:e>
            <m:r>
              <m:t>Q</m:t>
            </m:r>
          </m:e>
          <m:sub>
            <m:r>
              <m:t>g</m:t>
            </m:r>
            <m:r>
              <m:t>,</m:t>
            </m:r>
            <m:r>
              <m:t>m</m:t>
            </m:r>
          </m:sub>
        </m:sSub>
      </m:oMath>
      <w:r>
        <w:t xml:space="preserve">) and loss (</w:t>
      </w:r>
      <m:oMath>
        <m:sSub>
          <m:e>
            <m:r>
              <m:t>Q</m:t>
            </m:r>
          </m:e>
          <m:sub>
            <m:r>
              <m:t>l</m:t>
            </m:r>
            <m:r>
              <m:t>,</m:t>
            </m:r>
            <m:r>
              <m:t>m</m:t>
            </m:r>
          </m:sub>
        </m:sSub>
      </m:oMath>
      <w:r>
        <w:t xml:space="preserve">) terms given by</w:t>
      </w:r>
    </w:p>
    <w:p>
      <w:pPr>
        <w:pStyle w:val="BodyText"/>
      </w:pPr>
      <m:oMathPara>
        <m:oMathParaPr>
          <m:jc m:val="center"/>
        </m:oMathParaPr>
        <m:oMath>
          <m:sSub>
            <m:e>
              <m:r>
                <m:t>Q</m:t>
              </m:r>
            </m:e>
            <m:sub>
              <m:r>
                <m:t>g</m:t>
              </m:r>
              <m:r>
                <m:t>,</m:t>
              </m:r>
              <m:r>
                <m:t>m</m:t>
              </m:r>
            </m:sub>
          </m:sSub>
          <m:r>
            <m:t>=</m:t>
          </m:r>
          <m:f>
            <m:fPr>
              <m:type m:val="bar"/>
            </m:fPr>
            <m:num>
              <m:r>
                <m:t>1</m:t>
              </m:r>
            </m:num>
            <m:den>
              <m:r>
                <m:t>2</m:t>
              </m:r>
            </m:den>
          </m:f>
          <m:nary>
            <m:naryPr>
              <m:chr m:val="∑"/>
              <m:limLoc m:val="undOvr"/>
              <m:subHide m:val="0"/>
              <m:supHide m:val="0"/>
            </m:naryPr>
            <m:sub>
              <m:r>
                <m:t>j</m:t>
              </m:r>
              <m:r>
                <m:t>=</m:t>
              </m:r>
              <m:r>
                <m:t>1</m:t>
              </m:r>
            </m:sub>
            <m:sup>
              <m:r>
                <m:t>m</m:t>
              </m:r>
              <m:r>
                <m:t>−</m:t>
              </m:r>
              <m:r>
                <m:t>1</m:t>
              </m:r>
            </m:sup>
            <m:e>
              <m:sSub>
                <m:e>
                  <m:r>
                    <m:t>a</m:t>
                  </m:r>
                </m:e>
                <m:sub>
                  <m:r>
                    <m:t>m</m:t>
                  </m:r>
                  <m:r>
                    <m:t>−</m:t>
                  </m:r>
                  <m:r>
                    <m:t>j</m:t>
                  </m:r>
                  <m:r>
                    <m:t>,</m:t>
                  </m:r>
                  <m:r>
                    <m:t>j</m:t>
                  </m:r>
                </m:sub>
              </m:sSub>
            </m:e>
          </m:nary>
          <m:r>
            <m:t> </m:t>
          </m:r>
          <m:sSub>
            <m:e>
              <m:r>
                <m:t>u</m:t>
              </m:r>
            </m:e>
            <m:sub>
              <m:r>
                <m:t>m</m:t>
              </m:r>
              <m:r>
                <m:t>−</m:t>
              </m:r>
              <m:r>
                <m:t>j</m:t>
              </m:r>
            </m:sub>
          </m:sSub>
          <m:r>
            <m:t> </m:t>
          </m:r>
          <m:sSub>
            <m:e>
              <m:r>
                <m:t>u</m:t>
              </m:r>
            </m:e>
            <m:sub>
              <m:r>
                <m:t>j</m:t>
              </m:r>
            </m:sub>
          </m:sSub>
        </m:oMath>
      </m:oMathPara>
    </w:p>
    <w:p>
      <w:pPr>
        <w:pStyle w:val="FirstParagraph"/>
      </w:pPr>
      <m:oMathPara>
        <m:oMathParaPr>
          <m:jc m:val="center"/>
        </m:oMathParaPr>
        <m:oMath>
          <m:sSub>
            <m:e>
              <m:r>
                <m:t>Q</m:t>
              </m:r>
            </m:e>
            <m:sub>
              <m:r>
                <m:t>l</m:t>
              </m:r>
              <m:r>
                <m:t>,</m:t>
              </m:r>
              <m:r>
                <m:t>m</m:t>
              </m:r>
            </m:sub>
          </m:sSub>
          <m:r>
            <m:t>=</m:t>
          </m:r>
          <m:sSub>
            <m:e>
              <m:r>
                <m:t>u</m:t>
              </m:r>
            </m:e>
            <m:sub>
              <m:r>
                <m:t>m</m:t>
              </m:r>
            </m:sub>
          </m:sSub>
          <m:nary>
            <m:naryPr>
              <m:chr m:val="∑"/>
              <m:limLoc m:val="undOvr"/>
              <m:subHide m:val="0"/>
              <m:supHide m:val="0"/>
            </m:naryPr>
            <m:sub>
              <m:r>
                <m:t>j</m:t>
              </m:r>
              <m:r>
                <m:t>=</m:t>
              </m:r>
              <m:r>
                <m:t>1</m:t>
              </m:r>
            </m:sub>
            <m:sup>
              <m:r>
                <m:t>∞</m:t>
              </m:r>
            </m:sup>
            <m:e>
              <m:sSub>
                <m:e>
                  <m:r>
                    <m:t>a</m:t>
                  </m:r>
                </m:e>
                <m:sub>
                  <m:r>
                    <m:t>m</m:t>
                  </m:r>
                  <m:r>
                    <m:t>,</m:t>
                  </m:r>
                  <m:r>
                    <m:t>j</m:t>
                  </m:r>
                </m:sub>
              </m:sSub>
            </m:e>
          </m:nary>
          <m:r>
            <m:t> </m:t>
          </m:r>
          <m:sSub>
            <m:e>
              <m:r>
                <m:t>u</m:t>
              </m:r>
            </m:e>
            <m:sub>
              <m:r>
                <m:t>j</m:t>
              </m:r>
            </m:sub>
          </m:sSub>
          <m:r>
            <m:t>.</m:t>
          </m:r>
        </m:oMath>
      </m:oMathPara>
    </w:p>
    <w:p>
      <w:pPr>
        <w:pStyle w:val="FirstParagraph"/>
      </w:pPr>
      <w:r>
        <w:t xml:space="preserve">where</w:t>
      </w:r>
      <w:r>
        <w:t xml:space="preserve"> </w:t>
      </w:r>
      <m:oMath>
        <m:r>
          <m:t>u</m:t>
        </m:r>
        <m:r>
          <m:t>=</m:t>
        </m:r>
        <m:r>
          <m:t>(</m:t>
        </m:r>
        <m:sSub>
          <m:e>
            <m:r>
              <m:t>u</m:t>
            </m:r>
          </m:e>
          <m:sub>
            <m:r>
              <m:t>m</m:t>
            </m:r>
          </m:sub>
        </m:sSub>
        <m:sSub>
          <m:e>
            <m:r>
              <m:t>)</m:t>
            </m:r>
          </m:e>
          <m:sub>
            <m:r>
              <m:t>m</m:t>
            </m:r>
            <m:r>
              <m:t>≥</m:t>
            </m:r>
            <m:r>
              <m:t>1</m:t>
            </m:r>
          </m:sub>
        </m:sSub>
      </m:oMath>
      <w:r>
        <w:t xml:space="preserve">.</w:t>
      </w:r>
      <w:r>
        <w:t xml:space="preserve"> </w:t>
      </w:r>
      <w:r>
        <w:t xml:space="preserve">The coagulation rates</w:t>
      </w:r>
      <w:r>
        <w:t xml:space="preserve"> </w:t>
      </w:r>
      <m:oMath>
        <m:sSub>
          <m:e>
            <m:r>
              <m:t>a</m:t>
            </m:r>
          </m:e>
          <m:sub>
            <m:r>
              <m:t>m</m:t>
            </m:r>
            <m:r>
              <m:t>,</m:t>
            </m:r>
            <m:r>
              <m:t>j</m:t>
            </m:r>
          </m:sub>
        </m:sSub>
      </m:oMath>
      <w:r>
        <w:t xml:space="preserve"> </w:t>
      </w:r>
      <w:r>
        <w:t xml:space="preserve">are non negative constants such that</w:t>
      </w:r>
      <w:r>
        <w:t xml:space="preserve"> </w:t>
      </w:r>
      <m:oMath>
        <m:sSub>
          <m:e>
            <m:r>
              <m:t>a</m:t>
            </m:r>
          </m:e>
          <m:sub>
            <m:r>
              <m:t>m</m:t>
            </m:r>
            <m:r>
              <m:t>,</m:t>
            </m:r>
            <m:r>
              <m:t>j</m:t>
            </m:r>
          </m:sub>
        </m:sSub>
        <m:r>
          <m:t>=</m:t>
        </m:r>
        <m:sSub>
          <m:e>
            <m:r>
              <m:t>a</m:t>
            </m:r>
          </m:e>
          <m:sub>
            <m:r>
              <m:t>j</m:t>
            </m:r>
            <m:r>
              <m:t>,</m:t>
            </m:r>
            <m:r>
              <m:t>m</m:t>
            </m:r>
          </m:sub>
        </m:sSub>
      </m:oMath>
      <w:r>
        <w:t xml:space="preserve"> </w:t>
      </w:r>
      <w:r>
        <w:t xml:space="preserve">and</w:t>
      </w:r>
      <w:r>
        <w:t xml:space="preserve"> </w:t>
      </w:r>
      <m:oMath>
        <m:sSub>
          <m:e>
            <m:r>
              <m:t>d</m:t>
            </m:r>
          </m:e>
          <m:sub>
            <m:r>
              <m:t>m</m:t>
            </m:r>
          </m:sub>
        </m:sSub>
      </m:oMath>
      <w:r>
        <w:t xml:space="preserve"> </w:t>
      </w:r>
      <w:r>
        <w:t xml:space="preserve">denotes the diffusion coefficient of an</w:t>
      </w:r>
      <w:r>
        <w:t xml:space="preserve"> </w:t>
      </w:r>
      <m:oMath>
        <m:r>
          <m:t>m</m:t>
        </m:r>
      </m:oMath>
      <w:r>
        <w:t xml:space="preserve">-cluster,</w:t>
      </w:r>
      <w:r>
        <w:t xml:space="preserve"> </w:t>
      </w:r>
      <m:oMath>
        <m:sSub>
          <m:e>
            <m:r>
              <m:t>d</m:t>
            </m:r>
          </m:e>
          <m:sub>
            <m:r>
              <m:t>m</m:t>
            </m:r>
          </m:sub>
        </m:sSub>
        <m:r>
          <m:t>&gt;</m:t>
        </m:r>
        <m:r>
          <m:t>0</m:t>
        </m:r>
        <m:r>
          <m:t> </m:t>
        </m:r>
        <m:r>
          <m:t> </m:t>
        </m:r>
        <m:r>
          <m:t> </m:t>
        </m:r>
        <m:r>
          <m:t> </m:t>
        </m:r>
        <m:r>
          <m:t> </m:t>
        </m:r>
        <m:r>
          <m:t>∀</m:t>
        </m:r>
        <m:r>
          <m:t>m</m:t>
        </m:r>
        <m:r>
          <m:t>≥</m:t>
        </m:r>
        <m:r>
          <m:t>1</m:t>
        </m:r>
      </m:oMath>
      <w:r>
        <w:t xml:space="preserve">. The kinetic coefficient</w:t>
      </w:r>
      <w:r>
        <w:t xml:space="preserve"> </w:t>
      </w:r>
      <m:oMath>
        <m:sSub>
          <m:e>
            <m:r>
              <m:t>a</m:t>
            </m:r>
          </m:e>
          <m:sub>
            <m:r>
              <m:t>m</m:t>
            </m:r>
            <m:r>
              <m:t>,</m:t>
            </m:r>
            <m:r>
              <m:t>j</m:t>
            </m:r>
          </m:sub>
        </m:sSub>
      </m:oMath>
      <w:r>
        <w:t xml:space="preserve"> </w:t>
      </w:r>
      <w:r>
        <w:t xml:space="preserve">represents reaction in which an (</w:t>
      </w:r>
      <m:oMath>
        <m:r>
          <m:t>m</m:t>
        </m:r>
        <m:r>
          <m:t>+</m:t>
        </m:r>
        <m:r>
          <m:t>j</m:t>
        </m:r>
      </m:oMath>
      <w:r>
        <w:t xml:space="preserve">)-cluster is formed from an</w:t>
      </w:r>
      <w:r>
        <w:t xml:space="preserve"> </w:t>
      </w:r>
      <m:oMath>
        <m:r>
          <m:t>m</m:t>
        </m:r>
      </m:oMath>
      <w:r>
        <w:t xml:space="preserve">-cluster and a</w:t>
      </w:r>
      <w:r>
        <w:t xml:space="preserve"> </w:t>
      </w:r>
      <m:oMath>
        <m:r>
          <m:t>j</m:t>
        </m:r>
      </m:oMath>
      <w:r>
        <w:t xml:space="preserve">-cluster. The term</w:t>
      </w:r>
      <w:r>
        <w:t xml:space="preserve"> </w:t>
      </w:r>
      <m:oMath>
        <m:sSub>
          <m:e>
            <m:r>
              <m:t>Q</m:t>
            </m:r>
          </m:e>
          <m:sub>
            <m:r>
              <m:t>g</m:t>
            </m:r>
            <m:r>
              <m:t>,</m:t>
            </m:r>
            <m:r>
              <m:t>m</m:t>
            </m:r>
          </m:sub>
        </m:sSub>
      </m:oMath>
      <w:r>
        <w:t xml:space="preserve">, given by (???), describes the creation of polymers</w:t>
      </w:r>
      <w:r>
        <w:t xml:space="preserve"> </w:t>
      </w:r>
      <w:r>
        <w:t xml:space="preserve">of size</w:t>
      </w:r>
      <w:r>
        <w:t xml:space="preserve"> </w:t>
      </w:r>
      <m:oMath>
        <m:r>
          <m:t>m</m:t>
        </m:r>
      </m:oMath>
      <w:r>
        <w:t xml:space="preserve"> </w:t>
      </w:r>
      <w:r>
        <w:t xml:space="preserve">by coagulation of polymers of size</w:t>
      </w:r>
      <w:r>
        <w:t xml:space="preserve"> </w:t>
      </w:r>
      <m:oMath>
        <m:r>
          <m:t>j</m:t>
        </m:r>
      </m:oMath>
      <w:r>
        <w:t xml:space="preserve"> </w:t>
      </w:r>
      <w:r>
        <w:t xml:space="preserve">and</w:t>
      </w:r>
      <w:r>
        <w:t xml:space="preserve"> </w:t>
      </w:r>
      <m:oMath>
        <m:r>
          <m:t>m</m:t>
        </m:r>
        <m:r>
          <m:t>−</m:t>
        </m:r>
        <m:r>
          <m:t>j</m:t>
        </m:r>
      </m:oMath>
      <w:r>
        <w:t xml:space="preserve">. The term</w:t>
      </w:r>
      <w:r>
        <w:t xml:space="preserve"> </w:t>
      </w:r>
      <m:oMath>
        <m:sSub>
          <m:e>
            <m:r>
              <m:t>Q</m:t>
            </m:r>
          </m:e>
          <m:sub>
            <m:r>
              <m:t>l</m:t>
            </m:r>
            <m:r>
              <m:t>,</m:t>
            </m:r>
            <m:r>
              <m:t>m</m:t>
            </m:r>
          </m:sub>
        </m:sSub>
      </m:oMath>
      <w:r>
        <w:t xml:space="preserve">, given by (???), corresponds to the depletion of polymers of size</w:t>
      </w:r>
      <w:r>
        <w:t xml:space="preserve"> </w:t>
      </w:r>
      <m:oMath>
        <m:r>
          <m:t>m</m:t>
        </m:r>
      </m:oMath>
      <w:r>
        <w:t xml:space="preserve"> </w:t>
      </w:r>
      <w:r>
        <w:t xml:space="preserve">after coalescence with other polymers.</w:t>
      </w:r>
      <w:r>
        <w:t xml:space="preserve"> </w:t>
      </w:r>
      <w:r>
        <w:t xml:space="preserve">Since the size of clusters is not limited a priori, Eq. (???) describes a non-linear evolution equation of infinite dimension.</w:t>
      </w:r>
    </w:p>
    <w:p>
      <w:pPr>
        <w:pStyle w:val="Heading1"/>
      </w:pPr>
      <w:bookmarkStart w:id="47" w:name="supplementary-information-3-mathematical-proofs-involving-proposed-aggregation-theory"/>
      <w:bookmarkEnd w:id="47"/>
      <w:r>
        <w:t xml:space="preserve">Supplementary Information 3: Mathematical proofs involving proposed aggregation theory</w:t>
      </w:r>
    </w:p>
    <w:p>
      <w:pPr>
        <w:pStyle w:val="FirstParagraph"/>
      </w:pPr>
      <w:r>
        <w:t xml:space="preserve">In this section we will prove various results involving the proposed aggregation-network diffusion (AND) theory. These results will demonstrate that the proposed model has various desirable properties like existence and uniqueness of solutions, and boundedness of their values.</w:t>
      </w:r>
    </w:p>
    <w:p>
      <w:pPr>
        <w:pStyle w:val="BodyText"/>
      </w:pPr>
      <w:r>
        <w:t xml:space="preserve">We notice that the system for</w:t>
      </w:r>
      <w:r>
        <w:t xml:space="preserve"> </w:t>
      </w:r>
      <m:oMath>
        <m:r>
          <m:t>τ</m:t>
        </m:r>
        <m:r>
          <m:t>=</m:t>
        </m:r>
        <m:r>
          <m:t>(</m:t>
        </m:r>
        <m:sSub>
          <m:e>
            <m:r>
              <m:t>τ</m:t>
            </m:r>
          </m:e>
          <m:sub>
            <m:r>
              <m:t>1</m:t>
            </m:r>
          </m:sub>
        </m:sSub>
        <m:r>
          <m:t>,</m:t>
        </m:r>
        <m:r>
          <m:t>…</m:t>
        </m:r>
        <m:r>
          <m:t>,</m:t>
        </m:r>
        <m:sSub>
          <m:e>
            <m:r>
              <m:t>τ</m:t>
            </m:r>
          </m:e>
          <m:sub>
            <m:r>
              <m:t>M</m:t>
            </m:r>
          </m:sub>
        </m:sSub>
        <m:r>
          <m:t>)</m:t>
        </m:r>
      </m:oMath>
      <w:r>
        <w:t xml:space="preserve"> </w:t>
      </w:r>
      <w:r>
        <w:t xml:space="preserve">is nothing but a system of</w:t>
      </w:r>
      <w:r>
        <w:t xml:space="preserve"> </w:t>
      </w:r>
      <m:oMath>
        <m:r>
          <m:t>M</m:t>
        </m:r>
        <m:r>
          <m:t>N</m:t>
        </m:r>
      </m:oMath>
      <w:r>
        <w:t xml:space="preserve"> </w:t>
      </w:r>
      <w:r>
        <w:t xml:space="preserve">ODEs for the</w:t>
      </w:r>
      <w:r>
        <w:t xml:space="preserve"> </w:t>
      </w:r>
      <m:oMath>
        <m:r>
          <m:t>M</m:t>
        </m:r>
        <m:r>
          <m:t>N</m:t>
        </m:r>
      </m:oMath>
      <w:r>
        <w:t xml:space="preserve"> </w:t>
      </w:r>
      <w:r>
        <w:t xml:space="preserve">unknown functions</w:t>
      </w:r>
      <w:r>
        <w:t xml:space="preserve"> </w:t>
      </w:r>
      <m:oMath>
        <m:sSub>
          <m:e>
            <m:r>
              <m:t>τ</m:t>
            </m:r>
          </m:e>
          <m:sub>
            <m:r>
              <m:t>m</m:t>
            </m:r>
          </m:sub>
        </m:sSub>
        <m:r>
          <m:t>(</m:t>
        </m:r>
        <m:sSub>
          <m:e>
            <m:r>
              <m:rPr>
                <m:sty m:val="b"/>
              </m:rPr>
              <m:t>v</m:t>
            </m:r>
          </m:e>
          <m:sub>
            <m:r>
              <m:t>i</m:t>
            </m:r>
          </m:sub>
        </m:sSub>
        <m:r>
          <m:t>,</m:t>
        </m:r>
        <m:r>
          <m:t>⋅</m:t>
        </m:r>
        <m:r>
          <m:t>)</m:t>
        </m:r>
      </m:oMath>
      <w:r>
        <w:t xml:space="preserve">,</w:t>
      </w:r>
      <w:r>
        <w:t xml:space="preserve"> </w:t>
      </w:r>
      <m:oMath>
        <m:r>
          <m:t>i</m:t>
        </m:r>
        <m:r>
          <m:t>=</m:t>
        </m:r>
        <m:r>
          <m:t>1</m:t>
        </m:r>
        <m:r>
          <m:t>,</m:t>
        </m:r>
        <m:r>
          <m:t>…</m:t>
        </m:r>
        <m:r>
          <m:t>,</m:t>
        </m:r>
        <m:r>
          <m:t>N</m:t>
        </m:r>
      </m:oMath>
      <w:r>
        <w:t xml:space="preserve">,</w:t>
      </w:r>
      <w:r>
        <w:t xml:space="preserve"> </w:t>
      </w:r>
      <m:oMath>
        <m:r>
          <m:t>m</m:t>
        </m:r>
        <m:r>
          <m:t>=</m:t>
        </m:r>
        <m:r>
          <m:t>1</m:t>
        </m:r>
        <m:r>
          <m:t>,</m:t>
        </m:r>
        <m:r>
          <m:t>…</m:t>
        </m:r>
        <m:r>
          <m:t>,</m:t>
        </m:r>
        <m:r>
          <m:t>M</m:t>
        </m:r>
      </m:oMath>
      <w:r>
        <w:t xml:space="preserve">.</w:t>
      </w:r>
    </w:p>
    <w:p>
      <w:pPr>
        <w:pStyle w:val="BodyText"/>
      </w:pPr>
      <w:r>
        <w:t xml:space="preserve">Classical Peano-Picard-Lindelöf theorem (see (Hartman 1964), Chapter 2) guarantees the existence of</w:t>
      </w:r>
      <w:r>
        <w:t xml:space="preserve"> </w:t>
      </w:r>
      <w:r>
        <w:t xml:space="preserve">a maximal solution in</w:t>
      </w:r>
      <w:r>
        <w:t xml:space="preserve"> </w:t>
      </w:r>
      <m:oMath>
        <m:d>
          <m:dPr>
            <m:begChr m:val="["/>
            <m:endChr m:val="]"/>
            <m:grow/>
          </m:dPr>
          <m:e>
            <m:sSub>
              <m:e>
                <m:r>
                  <m:t>t</m:t>
                </m:r>
              </m:e>
              <m:sub>
                <m:r>
                  <m:t>m</m:t>
                </m:r>
                <m:r>
                  <m:t>i</m:t>
                </m:r>
                <m:r>
                  <m:t>n</m:t>
                </m:r>
              </m:sub>
            </m:sSub>
            <m:r>
              <m:t>,</m:t>
            </m:r>
            <m:sSub>
              <m:e>
                <m:r>
                  <m:t>t</m:t>
                </m:r>
              </m:e>
              <m:sub>
                <m:r>
                  <m:t>m</m:t>
                </m:r>
                <m:r>
                  <m:t>a</m:t>
                </m:r>
                <m:r>
                  <m:t>x</m:t>
                </m:r>
              </m:sub>
            </m:sSub>
          </m:e>
        </m:d>
      </m:oMath>
      <w:r>
        <w:t xml:space="preserve"> </w:t>
      </w:r>
      <w:r>
        <w:t xml:space="preserve">for the system – with</w:t>
      </w:r>
      <w:r>
        <w:t xml:space="preserve"> </w:t>
      </w:r>
      <w:r>
        <w:t xml:space="preserve">Cauchy data at</w:t>
      </w:r>
      <w:r>
        <w:t xml:space="preserve"> </w:t>
      </w:r>
      <m:oMath>
        <m:r>
          <m:t>t</m:t>
        </m:r>
        <m:r>
          <m:t>=</m:t>
        </m:r>
        <m:sSub>
          <m:e>
            <m:r>
              <m:t>t</m:t>
            </m:r>
          </m:e>
          <m:sub>
            <m:r>
              <m:t>0</m:t>
            </m:r>
          </m:sub>
        </m:sSub>
      </m:oMath>
      <w:r>
        <w:t xml:space="preserve">. The following lemma states that, if the components of the solutions are strictly positive</w:t>
      </w:r>
      <w:r>
        <w:t xml:space="preserve"> </w:t>
      </w:r>
      <w:r>
        <w:t xml:space="preserve">at</w:t>
      </w:r>
      <w:r>
        <w:t xml:space="preserve"> </w:t>
      </w:r>
      <m:oMath>
        <m:r>
          <m:t>t</m:t>
        </m:r>
        <m:r>
          <m:t>=</m:t>
        </m:r>
        <m:sSub>
          <m:e>
            <m:r>
              <m:t>t</m:t>
            </m:r>
          </m:e>
          <m:sub>
            <m:r>
              <m:t>0</m:t>
            </m:r>
          </m:sub>
        </m:sSub>
      </m:oMath>
      <w:r>
        <w:t xml:space="preserve">, then they remain strictly positive as long as they exist.</w:t>
      </w:r>
    </w:p>
    <w:p>
      <w:pPr>
        <w:pStyle w:val="BodyText"/>
      </w:pPr>
      <w:r>
        <w:rPr>
          <w:i/>
        </w:rPr>
        <w:t xml:space="preserve">Lemma 1:</w:t>
      </w:r>
      <w:r>
        <w:t xml:space="preserve"> </w:t>
      </w:r>
    </w:p>
    <w:p>
      <w:pPr>
        <w:pStyle w:val="BodyText"/>
      </w:pPr>
      <w:r>
        <w:t xml:space="preserve">If</w:t>
      </w:r>
      <w:r>
        <w:t xml:space="preserve"> </w:t>
      </w:r>
      <m:oMath>
        <m:sSub>
          <m:e>
            <m:r>
              <m:t>τ</m:t>
            </m:r>
          </m:e>
          <m:sub>
            <m:r>
              <m:t>m</m:t>
            </m:r>
          </m:sub>
        </m:sSub>
        <m:r>
          <m:t>(</m:t>
        </m:r>
        <m:sSub>
          <m:e>
            <m:r>
              <m:rPr>
                <m:sty m:val="b"/>
              </m:rPr>
              <m:t>v</m:t>
            </m:r>
          </m:e>
          <m:sub>
            <m:r>
              <m:t>j</m:t>
            </m:r>
          </m:sub>
        </m:sSub>
        <m:r>
          <m:t>,</m:t>
        </m:r>
        <m:sSub>
          <m:e>
            <m:r>
              <m:t>t</m:t>
            </m:r>
          </m:e>
          <m:sub>
            <m:r>
              <m:t>0</m:t>
            </m:r>
          </m:sub>
        </m:sSub>
        <m:r>
          <m:t>)</m:t>
        </m:r>
        <m:r>
          <m:t>&gt;</m:t>
        </m:r>
        <m:r>
          <m:t>0</m:t>
        </m:r>
      </m:oMath>
      <w:r>
        <w:t xml:space="preserve"> </w:t>
      </w:r>
      <w:r>
        <w:t xml:space="preserve">and</w:t>
      </w:r>
      <w:r>
        <w:t xml:space="preserve"> </w:t>
      </w:r>
      <m:oMath>
        <m:sSub>
          <m:e>
            <m:r>
              <m:t>f</m:t>
            </m:r>
          </m:e>
          <m:sub>
            <m:r>
              <m:t>τ</m:t>
            </m:r>
          </m:sub>
        </m:sSub>
        <m:r>
          <m:t>(</m:t>
        </m:r>
        <m:sSub>
          <m:e>
            <m:r>
              <m:rPr>
                <m:sty m:val="b"/>
              </m:rPr>
              <m:t>v</m:t>
            </m:r>
          </m:e>
          <m:sub>
            <m:r>
              <m:t>j</m:t>
            </m:r>
          </m:sub>
        </m:sSub>
        <m:r>
          <m:t>,</m:t>
        </m:r>
        <m:r>
          <m:t>t</m:t>
        </m:r>
        <m:r>
          <m:t>)</m:t>
        </m:r>
        <m:r>
          <m:t>&gt;</m:t>
        </m:r>
        <m:r>
          <m:t>0</m:t>
        </m:r>
      </m:oMath>
      <w:r>
        <w:t xml:space="preserve"> </w:t>
      </w:r>
      <w:r>
        <w:t xml:space="preserve">for all</w:t>
      </w:r>
      <w:r>
        <w:t xml:space="preserve"> </w:t>
      </w:r>
      <m:oMath>
        <m:sSub>
          <m:e>
            <m:r>
              <m:rPr>
                <m:sty m:val="b"/>
              </m:rPr>
              <m:t>v</m:t>
            </m:r>
          </m:e>
          <m:sub>
            <m:r>
              <m:t>j</m:t>
            </m:r>
          </m:sub>
        </m:sSub>
        <m:r>
          <m:t>∈</m:t>
        </m:r>
        <m:r>
          <m:t>V</m:t>
        </m:r>
        <m:r>
          <m:t>(</m:t>
        </m:r>
        <m:r>
          <m:t>Γ</m:t>
        </m:r>
        <m:r>
          <m:t>)</m:t>
        </m:r>
      </m:oMath>
      <w:r>
        <w:t xml:space="preserve"> </w:t>
      </w:r>
      <w:r>
        <w:t xml:space="preserve">and for</w:t>
      </w:r>
      <w:r>
        <w:t xml:space="preserve"> </w:t>
      </w:r>
      <m:oMath>
        <m:r>
          <m:t>1</m:t>
        </m:r>
        <m:r>
          <m:t>≤</m:t>
        </m:r>
        <m:r>
          <m:t>m</m:t>
        </m:r>
        <m:r>
          <m:t>≤</m:t>
        </m:r>
        <m:r>
          <m:t>M</m:t>
        </m:r>
      </m:oMath>
      <w:r>
        <w:t xml:space="preserve">, the maximal solution of the system</w:t>
      </w:r>
      <w:r>
        <w:t xml:space="preserve"> </w:t>
      </w:r>
      <w:r>
        <w:t xml:space="preserve">, , is positive on all the interval of existence,</w:t>
      </w:r>
      <w:r>
        <w:t xml:space="preserve"> </w:t>
      </w:r>
      <w:r>
        <w:t xml:space="preserve">i.e.</w:t>
      </w:r>
      <w:r>
        <w:t xml:space="preserve"> </w:t>
      </w:r>
      <m:oMath>
        <m:sSub>
          <m:e>
            <m:r>
              <m:t>τ</m:t>
            </m:r>
          </m:e>
          <m:sub>
            <m:r>
              <m:t>m</m:t>
            </m:r>
          </m:sub>
        </m:sSub>
        <m:r>
          <m:t>(</m:t>
        </m:r>
        <m:sSub>
          <m:e>
            <m:r>
              <m:rPr>
                <m:sty m:val="b"/>
              </m:rPr>
              <m:t>v</m:t>
            </m:r>
          </m:e>
          <m:sub>
            <m:r>
              <m:t>i</m:t>
            </m:r>
          </m:sub>
        </m:sSub>
        <m:r>
          <m:t>,</m:t>
        </m:r>
        <m:r>
          <m:t>t</m:t>
        </m:r>
        <m:r>
          <m:t>)</m:t>
        </m:r>
        <m:r>
          <m:t>&gt;</m:t>
        </m:r>
        <m:r>
          <m:t>0</m:t>
        </m:r>
      </m:oMath>
      <w:r>
        <w:t xml:space="preserve"> </w:t>
      </w:r>
      <w:r>
        <w:t xml:space="preserve">for</w:t>
      </w:r>
      <w:r>
        <w:t xml:space="preserve"> </w:t>
      </w:r>
      <m:oMath>
        <m:sSub>
          <m:e>
            <m:r>
              <m:t>t</m:t>
            </m:r>
          </m:e>
          <m:sub>
            <m:r>
              <m:t>m</m:t>
            </m:r>
            <m:r>
              <m:t>i</m:t>
            </m:r>
            <m:r>
              <m:t>n</m:t>
            </m:r>
          </m:sub>
        </m:sSub>
        <m:r>
          <m:t>&lt;</m:t>
        </m:r>
        <m:r>
          <m:t>t</m:t>
        </m:r>
        <m:r>
          <m:t>&lt;</m:t>
        </m:r>
        <m:sSub>
          <m:e>
            <m:r>
              <m:t>t</m:t>
            </m:r>
          </m:e>
          <m:sub>
            <m:r>
              <m:t>m</m:t>
            </m:r>
            <m:r>
              <m:t>a</m:t>
            </m:r>
            <m:r>
              <m:t>x</m:t>
            </m:r>
          </m:sub>
        </m:sSub>
      </m:oMath>
      <w:r>
        <w:t xml:space="preserve"> </w:t>
      </w:r>
      <w:r>
        <w:t xml:space="preserve">for all</w:t>
      </w:r>
      <w:r>
        <w:t xml:space="preserve"> </w:t>
      </w:r>
      <m:oMath>
        <m:sSub>
          <m:e>
            <m:r>
              <m:rPr>
                <m:sty m:val="b"/>
              </m:rPr>
              <m:t>v</m:t>
            </m:r>
          </m:e>
          <m:sub>
            <m:r>
              <m:t>i</m:t>
            </m:r>
          </m:sub>
        </m:sSub>
        <m:r>
          <m:t>∈</m:t>
        </m:r>
        <m:r>
          <m:t>V</m:t>
        </m:r>
        <m:r>
          <m:t>(</m:t>
        </m:r>
        <m:r>
          <m:t>Γ</m:t>
        </m:r>
        <m:r>
          <m:t>)</m:t>
        </m:r>
      </m:oMath>
      <w:r>
        <w:t xml:space="preserve"> </w:t>
      </w:r>
      <w:r>
        <w:t xml:space="preserve">and for</w:t>
      </w:r>
      <w:r>
        <w:t xml:space="preserve"> </w:t>
      </w:r>
      <m:oMath>
        <m:r>
          <m:t>1</m:t>
        </m:r>
        <m:r>
          <m:t>≤</m:t>
        </m:r>
        <m:r>
          <m:t>m</m:t>
        </m:r>
        <m:r>
          <m:t>≤</m:t>
        </m:r>
        <m:r>
          <m:t>M</m:t>
        </m:r>
      </m:oMath>
      <w:r>
        <w:t xml:space="preserve">.</w:t>
      </w:r>
    </w:p>
    <w:p>
      <w:pPr>
        <w:pStyle w:val="BodyText"/>
      </w:pPr>
      <w:r>
        <w:rPr>
          <w:i/>
        </w:rPr>
        <w:t xml:space="preserve">Proof:</w:t>
      </w:r>
    </w:p>
    <w:p>
      <w:pPr>
        <w:pStyle w:val="BodyText"/>
      </w:pPr>
      <w:r>
        <w:t xml:space="preserve">Suppose by contradiction the statement fails to hold, and set</w:t>
      </w:r>
    </w:p>
    <w:p>
      <w:pPr>
        <w:pStyle w:val="BodyText"/>
      </w:pPr>
      <m:oMathPara>
        <m:oMathParaPr>
          <m:jc m:val="center"/>
        </m:oMathParaPr>
        <m:oMath>
          <m:sSup>
            <m:e>
              <m:r>
                <m:t>t</m:t>
              </m:r>
            </m:e>
            <m:sup>
              <m:r>
                <m:t>*</m:t>
              </m:r>
            </m:sup>
          </m:sSup>
          <m:r>
            <m:t>=</m:t>
          </m:r>
          <m:r>
            <m:rPr>
              <m:sty m:val="p"/>
            </m:rPr>
            <m:t>sup</m:t>
          </m:r>
          <m:r>
            <m:t>{</m:t>
          </m:r>
          <m:r>
            <m:t>t</m:t>
          </m:r>
          <m:r>
            <m:t>∈</m:t>
          </m:r>
          <m:r>
            <m:t>(</m:t>
          </m:r>
          <m:sSub>
            <m:e>
              <m:r>
                <m:t>t</m:t>
              </m:r>
            </m:e>
            <m:sub>
              <m:r>
                <m:t>0</m:t>
              </m:r>
            </m:sub>
          </m:sSub>
          <m:r>
            <m:t>,</m:t>
          </m:r>
          <m:sSub>
            <m:e>
              <m:r>
                <m:t>t</m:t>
              </m:r>
            </m:e>
            <m:sub>
              <m:r>
                <m:t>m</m:t>
              </m:r>
              <m:r>
                <m:t>a</m:t>
              </m:r>
              <m:r>
                <m:t>x</m:t>
              </m:r>
            </m:sub>
          </m:sSub>
          <m:r>
            <m:t>)</m:t>
          </m:r>
          <m:r>
            <m:t>,</m:t>
          </m:r>
          <m:sSub>
            <m:e>
              <m:r>
                <m:t>τ</m:t>
              </m:r>
            </m:e>
            <m:sub>
              <m:r>
                <m:t>1</m:t>
              </m:r>
            </m:sub>
          </m:sSub>
          <m:r>
            <m:t>(</m:t>
          </m:r>
          <m:sSub>
            <m:e>
              <m:r>
                <m:rPr>
                  <m:sty m:val="b"/>
                </m:rPr>
                <m:t>v</m:t>
              </m:r>
            </m:e>
            <m:sub>
              <m:r>
                <m:t>j</m:t>
              </m:r>
            </m:sub>
          </m:sSub>
          <m:r>
            <m:t>,</m:t>
          </m:r>
          <m:r>
            <m:t>t</m:t>
          </m:r>
          <m:r>
            <m:t>)</m:t>
          </m:r>
          <m:r>
            <m:t>&gt;</m:t>
          </m:r>
          <m:r>
            <m:t>0</m:t>
          </m:r>
          <m:r>
            <m:t> </m:t>
          </m:r>
          <m:r>
            <m:t>∀</m:t>
          </m:r>
          <m:r>
            <m:t> </m:t>
          </m:r>
          <m:sSub>
            <m:e>
              <m:r>
                <m:rPr>
                  <m:sty m:val="b"/>
                </m:rPr>
                <m:t>v</m:t>
              </m:r>
            </m:e>
            <m:sub>
              <m:r>
                <m:t>j</m:t>
              </m:r>
            </m:sub>
          </m:sSub>
          <m:r>
            <m:t>∈</m:t>
          </m:r>
          <m:r>
            <m:t>V</m:t>
          </m:r>
          <m:r>
            <m:t>(</m:t>
          </m:r>
          <m:r>
            <m:t>Γ</m:t>
          </m:r>
          <m:r>
            <m:t>)</m:t>
          </m:r>
          <m:r>
            <m:t>}</m:t>
          </m:r>
          <m:r>
            <m:t>&lt;</m:t>
          </m:r>
          <m:sSub>
            <m:e>
              <m:r>
                <m:t>t</m:t>
              </m:r>
            </m:e>
            <m:sub>
              <m:r>
                <m:t>m</m:t>
              </m:r>
              <m:r>
                <m:t>a</m:t>
              </m:r>
              <m:r>
                <m:t>x</m:t>
              </m:r>
            </m:sub>
          </m:sSub>
          <m:r>
            <m:t>.</m:t>
          </m:r>
        </m:oMath>
      </m:oMathPara>
    </w:p>
    <w:p>
      <w:pPr>
        <w:pStyle w:val="FirstParagraph"/>
      </w:pPr>
      <w:r>
        <w:t xml:space="preserve">We claim that there exists a vertex</w:t>
      </w:r>
      <w:r>
        <w:t xml:space="preserve"> </w:t>
      </w:r>
      <m:oMath>
        <m:sSub>
          <m:e>
            <m:bar>
              <m:barPr>
                <m:pos m:val="top"/>
              </m:barPr>
              <m:e>
                <m:r>
                  <m:rPr>
                    <m:sty m:val="b"/>
                  </m:rPr>
                  <m:t>v</m:t>
                </m:r>
              </m:e>
            </m:bar>
          </m:e>
          <m:sub>
            <m:r>
              <m:t>j</m:t>
            </m:r>
          </m:sub>
        </m:sSub>
      </m:oMath>
      <w:r>
        <w:t xml:space="preserve"> </w:t>
      </w:r>
      <w:r>
        <w:t xml:space="preserve">such that</w:t>
      </w:r>
      <w:r>
        <w:t xml:space="preserve"> </w:t>
      </w:r>
      <m:oMath>
        <m:sSub>
          <m:e>
            <m:r>
              <m:t>τ</m:t>
            </m:r>
          </m:e>
          <m:sub>
            <m:r>
              <m:t>1</m:t>
            </m:r>
          </m:sub>
        </m:sSub>
        <m:r>
          <m:t>(</m:t>
        </m:r>
        <m:sSub>
          <m:e>
            <m:bar>
              <m:barPr>
                <m:pos m:val="top"/>
              </m:barPr>
              <m:e>
                <m:r>
                  <m:rPr>
                    <m:sty m:val="b"/>
                  </m:rPr>
                  <m:t>v</m:t>
                </m:r>
              </m:e>
            </m:bar>
          </m:e>
          <m:sub>
            <m:r>
              <m:t>j</m:t>
            </m:r>
          </m:sub>
        </m:sSub>
        <m:sSup>
          <m:e>
            <m:r>
              <m:t>t</m:t>
            </m:r>
          </m:e>
          <m:sup>
            <m:r>
              <m:t>*</m:t>
            </m:r>
          </m:sup>
        </m:sSup>
        <m:r>
          <m:t>)</m:t>
        </m:r>
        <m:r>
          <m:t>=</m:t>
        </m:r>
        <m:r>
          <m:t>0</m:t>
        </m:r>
      </m:oMath>
      <w:r>
        <w:t xml:space="preserve">. In fact, if</w:t>
      </w:r>
      <w:r>
        <w:t xml:space="preserve"> </w:t>
      </w:r>
      <m:oMath>
        <m:sSub>
          <m:e>
            <m:r>
              <m:t>τ</m:t>
            </m:r>
          </m:e>
          <m:sub>
            <m:r>
              <m:t>1</m:t>
            </m:r>
          </m:sub>
        </m:sSub>
        <m:r>
          <m:t>(</m:t>
        </m:r>
        <m:sSub>
          <m:e>
            <m:r>
              <m:rPr>
                <m:sty m:val="b"/>
              </m:rPr>
              <m:t>v</m:t>
            </m:r>
          </m:e>
          <m:sub>
            <m:r>
              <m:t>j</m:t>
            </m:r>
          </m:sub>
        </m:sSub>
        <m:r>
          <m:t>,</m:t>
        </m:r>
        <m:sSup>
          <m:e>
            <m:r>
              <m:t>t</m:t>
            </m:r>
          </m:e>
          <m:sup>
            <m:r>
              <m:t>*</m:t>
            </m:r>
          </m:sup>
        </m:sSup>
        <m:r>
          <m:t>)</m:t>
        </m:r>
        <m:r>
          <m:t>&gt;</m:t>
        </m:r>
        <m:r>
          <m:t>0</m:t>
        </m:r>
      </m:oMath>
      <w:r>
        <w:t xml:space="preserve"> </w:t>
      </w:r>
      <w:r>
        <w:t xml:space="preserve">for all</w:t>
      </w:r>
      <w:r>
        <w:t xml:space="preserve"> </w:t>
      </w:r>
      <m:oMath>
        <m:sSub>
          <m:e>
            <m:r>
              <m:rPr>
                <m:sty m:val="b"/>
              </m:rPr>
              <m:t>v</m:t>
            </m:r>
          </m:e>
          <m:sub>
            <m:r>
              <m:t>j</m:t>
            </m:r>
          </m:sub>
        </m:sSub>
        <m:r>
          <m:t>∈</m:t>
        </m:r>
        <m:r>
          <m:t>V</m:t>
        </m:r>
        <m:r>
          <m:t>(</m:t>
        </m:r>
        <m:r>
          <m:t>Γ</m:t>
        </m:r>
        <m:r>
          <m:t>)</m:t>
        </m:r>
      </m:oMath>
      <w:r>
        <w:t xml:space="preserve">, we would have</w:t>
      </w:r>
      <w:r>
        <w:t xml:space="preserve"> </w:t>
      </w:r>
      <m:oMath>
        <m:sSub>
          <m:e>
            <m:r>
              <m:t>τ</m:t>
            </m:r>
          </m:e>
          <m:sub>
            <m:r>
              <m:t>1</m:t>
            </m:r>
          </m:sub>
        </m:sSub>
        <m:r>
          <m:t>(</m:t>
        </m:r>
        <m:sSub>
          <m:e>
            <m:r>
              <m:rPr>
                <m:sty m:val="b"/>
              </m:rPr>
              <m:t>v</m:t>
            </m:r>
          </m:e>
          <m:sub>
            <m:r>
              <m:t>j</m:t>
            </m:r>
          </m:sub>
        </m:sSub>
        <m:r>
          <m:t>,</m:t>
        </m:r>
        <m:r>
          <m:t>t</m:t>
        </m:r>
        <m:r>
          <m:t>)</m:t>
        </m:r>
        <m:r>
          <m:t>&gt;</m:t>
        </m:r>
        <m:r>
          <m:t>0</m:t>
        </m:r>
      </m:oMath>
      <w:r>
        <w:t xml:space="preserve"> </w:t>
      </w:r>
      <w:r>
        <w:t xml:space="preserve">for all</w:t>
      </w:r>
      <w:r>
        <w:t xml:space="preserve"> </w:t>
      </w:r>
      <m:oMath>
        <m:sSub>
          <m:e>
            <m:r>
              <m:rPr>
                <m:sty m:val="b"/>
              </m:rPr>
              <m:t>v</m:t>
            </m:r>
          </m:e>
          <m:sub>
            <m:r>
              <m:t>j</m:t>
            </m:r>
          </m:sub>
        </m:sSub>
        <m:r>
          <m:t>∈</m:t>
        </m:r>
        <m:r>
          <m:t>V</m:t>
        </m:r>
        <m:r>
          <m:t>(</m:t>
        </m:r>
        <m:r>
          <m:t>Γ</m:t>
        </m:r>
        <m:r>
          <m:t>)</m:t>
        </m:r>
      </m:oMath>
      <w:r>
        <w:t xml:space="preserve"> </w:t>
      </w:r>
      <w:r>
        <w:t xml:space="preserve">and for</w:t>
      </w:r>
      <w:r>
        <w:t xml:space="preserve"> </w:t>
      </w:r>
      <m:oMath>
        <m:sSup>
          <m:e>
            <m:r>
              <m:t>t</m:t>
            </m:r>
          </m:e>
          <m:sup>
            <m:r>
              <m:t>*</m:t>
            </m:r>
          </m:sup>
        </m:sSup>
        <m:r>
          <m:t>&lt;</m:t>
        </m:r>
        <m:r>
          <m:t>t</m:t>
        </m:r>
        <m:r>
          <m:t>&lt;</m:t>
        </m:r>
        <m:sSup>
          <m:e>
            <m:r>
              <m:t>t</m:t>
            </m:r>
          </m:e>
          <m:sup>
            <m:r>
              <m:t>*</m:t>
            </m:r>
          </m:sup>
        </m:sSup>
        <m:r>
          <m:t>+</m:t>
        </m:r>
        <m:r>
          <m:t>δ</m:t>
        </m:r>
      </m:oMath>
      <w:r>
        <w:t xml:space="preserve"> </w:t>
      </w:r>
      <w:r>
        <w:t xml:space="preserve">(since the number of vertices is finite). This contradicts</w:t>
      </w:r>
      <w:r>
        <w:t xml:space="preserve"> </w:t>
      </w:r>
      <w:r>
        <w:t xml:space="preserve">the definition of</w:t>
      </w:r>
      <w:r>
        <w:t xml:space="preserve"> </w:t>
      </w:r>
      <m:oMath>
        <m:sSup>
          <m:e>
            <m:r>
              <m:t>t</m:t>
            </m:r>
          </m:e>
          <m:sup>
            <m:r>
              <m:t>*</m:t>
            </m:r>
          </m:sup>
        </m:sSup>
      </m:oMath>
      <w:r>
        <w:t xml:space="preserve">. Moreover, if</w:t>
      </w:r>
      <w:r>
        <w:t xml:space="preserve"> </w:t>
      </w:r>
      <m:oMath>
        <m:sSub>
          <m:e>
            <m:r>
              <m:t>τ</m:t>
            </m:r>
          </m:e>
          <m:sub>
            <m:r>
              <m:t>1</m:t>
            </m:r>
          </m:sub>
        </m:sSub>
        <m:r>
          <m:t>(</m:t>
        </m:r>
        <m:sSub>
          <m:e>
            <m:r>
              <m:rPr>
                <m:sty m:val="b"/>
              </m:rPr>
              <m:t>v</m:t>
            </m:r>
          </m:e>
          <m:sub>
            <m:r>
              <m:t>j</m:t>
            </m:r>
          </m:sub>
        </m:sSub>
        <m:r>
          <m:t>,</m:t>
        </m:r>
        <m:sSup>
          <m:e>
            <m:r>
              <m:t>t</m:t>
            </m:r>
          </m:e>
          <m:sup>
            <m:r>
              <m:t>*</m:t>
            </m:r>
          </m:sup>
        </m:sSup>
        <m:r>
          <m:t>)</m:t>
        </m:r>
        <m:r>
          <m:t>&lt;</m:t>
        </m:r>
        <m:r>
          <m:t>0</m:t>
        </m:r>
      </m:oMath>
      <w:r>
        <w:t xml:space="preserve"> </w:t>
      </w:r>
      <w:r>
        <w:t xml:space="preserve">for all</w:t>
      </w:r>
      <w:r>
        <w:t xml:space="preserve"> </w:t>
      </w:r>
      <m:oMath>
        <m:sSub>
          <m:e>
            <m:r>
              <m:rPr>
                <m:sty m:val="b"/>
              </m:rPr>
              <m:t>v</m:t>
            </m:r>
          </m:e>
          <m:sub>
            <m:r>
              <m:t>j</m:t>
            </m:r>
          </m:sub>
        </m:sSub>
      </m:oMath>
      <w:r>
        <w:t xml:space="preserve">,</w:t>
      </w:r>
      <w:r>
        <w:t xml:space="preserve"> </w:t>
      </w:r>
      <w:r>
        <w:t xml:space="preserve">for the same reason we would have</w:t>
      </w:r>
      <w:r>
        <w:t xml:space="preserve"> </w:t>
      </w:r>
      <m:oMath>
        <m:sSub>
          <m:e>
            <m:r>
              <m:t>τ</m:t>
            </m:r>
          </m:e>
          <m:sub>
            <m:r>
              <m:t>1</m:t>
            </m:r>
          </m:sub>
        </m:sSub>
        <m:r>
          <m:t>(</m:t>
        </m:r>
        <m:sSub>
          <m:e>
            <m:r>
              <m:rPr>
                <m:sty m:val="b"/>
              </m:rPr>
              <m:t>v</m:t>
            </m:r>
          </m:e>
          <m:sub>
            <m:r>
              <m:t>j</m:t>
            </m:r>
          </m:sub>
        </m:sSub>
        <m:r>
          <m:t>,</m:t>
        </m:r>
        <m:r>
          <m:t>t</m:t>
        </m:r>
        <m:r>
          <m:t>)</m:t>
        </m:r>
        <m:r>
          <m:t>&lt;</m:t>
        </m:r>
        <m:r>
          <m:t>0</m:t>
        </m:r>
      </m:oMath>
      <w:r>
        <w:t xml:space="preserve"> </w:t>
      </w:r>
      <w:r>
        <w:t xml:space="preserve">for all</w:t>
      </w:r>
      <w:r>
        <w:t xml:space="preserve"> </w:t>
      </w:r>
      <m:oMath>
        <m:sSub>
          <m:e>
            <m:r>
              <m:rPr>
                <m:sty m:val="b"/>
              </m:rPr>
              <m:t>v</m:t>
            </m:r>
          </m:e>
          <m:sub>
            <m:r>
              <m:t>j</m:t>
            </m:r>
          </m:sub>
        </m:sSub>
      </m:oMath>
      <w:r>
        <w:t xml:space="preserve"> </w:t>
      </w:r>
      <w:r>
        <w:t xml:space="preserve">and for</w:t>
      </w:r>
      <w:r>
        <w:t xml:space="preserve"> </w:t>
      </w:r>
      <m:oMath>
        <m:sSup>
          <m:e>
            <m:r>
              <m:t>t</m:t>
            </m:r>
          </m:e>
          <m:sup>
            <m:r>
              <m:t>*</m:t>
            </m:r>
          </m:sup>
        </m:sSup>
        <m:r>
          <m:t>−</m:t>
        </m:r>
        <m:r>
          <m:t>δ</m:t>
        </m:r>
        <m:r>
          <m:t>&lt;</m:t>
        </m:r>
        <m:r>
          <m:t>t</m:t>
        </m:r>
        <m:r>
          <m:t>&lt;</m:t>
        </m:r>
        <m:sSup>
          <m:e>
            <m:r>
              <m:t>t</m:t>
            </m:r>
          </m:e>
          <m:sup>
            <m:r>
              <m:t>*</m:t>
            </m:r>
          </m:sup>
        </m:sSup>
      </m:oMath>
      <w:r>
        <w:t xml:space="preserve">, yielding again a contradiction.</w:t>
      </w:r>
    </w:p>
    <w:p>
      <w:pPr>
        <w:pStyle w:val="BodyText"/>
      </w:pPr>
      <w:r>
        <w:t xml:space="preserve">Let us show now that</w:t>
      </w:r>
      <w:r>
        <w:t xml:space="preserve"> </w:t>
      </w:r>
      <m:oMath>
        <m:f>
          <m:fPr>
            <m:type m:val="bar"/>
          </m:fPr>
          <m:num>
            <m:r>
              <m:t>∂</m:t>
            </m:r>
            <m:sSub>
              <m:e>
                <m:r>
                  <m:t>τ</m:t>
                </m:r>
              </m:e>
              <m:sub>
                <m:r>
                  <m:t>1</m:t>
                </m:r>
              </m:sub>
            </m:sSub>
          </m:num>
          <m:den>
            <m:r>
              <m:t>∂</m:t>
            </m:r>
            <m:r>
              <m:t>t</m:t>
            </m:r>
          </m:den>
        </m:f>
        <m:r>
          <m:t>(</m:t>
        </m:r>
        <m:sSub>
          <m:e>
            <m:bar>
              <m:barPr>
                <m:pos m:val="top"/>
              </m:barPr>
              <m:e>
                <m:r>
                  <m:rPr>
                    <m:sty m:val="b"/>
                  </m:rPr>
                  <m:t>v</m:t>
                </m:r>
              </m:e>
            </m:bar>
          </m:e>
          <m:sub>
            <m:r>
              <m:t>j</m:t>
            </m:r>
          </m:sub>
        </m:sSub>
        <m:r>
          <m:t>,</m:t>
        </m:r>
        <m:sSup>
          <m:e>
            <m:r>
              <m:t>t</m:t>
            </m:r>
          </m:e>
          <m:sup>
            <m:r>
              <m:t>*</m:t>
            </m:r>
          </m:sup>
        </m:sSup>
        <m:r>
          <m:t>)</m:t>
        </m:r>
        <m:r>
          <m:t>≤</m:t>
        </m:r>
        <m:r>
          <m:t>0</m:t>
        </m:r>
      </m:oMath>
      <w:r>
        <w:t xml:space="preserve">. Arguing again by contradiction, suppose</w:t>
      </w:r>
      <w:r>
        <w:t xml:space="preserve"> </w:t>
      </w:r>
      <m:oMath>
        <m:f>
          <m:fPr>
            <m:type m:val="bar"/>
          </m:fPr>
          <m:num>
            <m:r>
              <m:t>∂</m:t>
            </m:r>
            <m:sSub>
              <m:e>
                <m:r>
                  <m:t>τ</m:t>
                </m:r>
              </m:e>
              <m:sub>
                <m:r>
                  <m:t>1</m:t>
                </m:r>
              </m:sub>
            </m:sSub>
          </m:num>
          <m:den>
            <m:r>
              <m:t>∂</m:t>
            </m:r>
            <m:r>
              <m:t>t</m:t>
            </m:r>
          </m:den>
        </m:f>
        <m:r>
          <m:t>(</m:t>
        </m:r>
        <m:sSub>
          <m:e>
            <m:bar>
              <m:barPr>
                <m:pos m:val="top"/>
              </m:barPr>
              <m:e>
                <m:r>
                  <m:rPr>
                    <m:sty m:val="b"/>
                  </m:rPr>
                  <m:t>v</m:t>
                </m:r>
              </m:e>
            </m:bar>
          </m:e>
          <m:sub>
            <m:r>
              <m:t>j</m:t>
            </m:r>
          </m:sub>
        </m:sSub>
        <m:r>
          <m:t>,</m:t>
        </m:r>
        <m:sSup>
          <m:e>
            <m:r>
              <m:t>t</m:t>
            </m:r>
          </m:e>
          <m:sup>
            <m:r>
              <m:t>*</m:t>
            </m:r>
          </m:sup>
        </m:sSup>
        <m:r>
          <m:t>)</m:t>
        </m:r>
        <m:r>
          <m:t>&gt;</m:t>
        </m:r>
        <m:r>
          <m:t>0</m:t>
        </m:r>
      </m:oMath>
      <w:r>
        <w:t xml:space="preserve">. Since</w:t>
      </w:r>
      <w:r>
        <w:t xml:space="preserve"> </w:t>
      </w:r>
      <m:oMath>
        <m:sSub>
          <m:e>
            <m:r>
              <m:t>τ</m:t>
            </m:r>
          </m:e>
          <m:sub>
            <m:r>
              <m:t>1</m:t>
            </m:r>
          </m:sub>
        </m:sSub>
        <m:r>
          <m:t>(</m:t>
        </m:r>
        <m:sSub>
          <m:e>
            <m:bar>
              <m:barPr>
                <m:pos m:val="top"/>
              </m:barPr>
              <m:e>
                <m:r>
                  <m:rPr>
                    <m:sty m:val="b"/>
                  </m:rPr>
                  <m:t>v</m:t>
                </m:r>
              </m:e>
            </m:bar>
          </m:e>
          <m:sub>
            <m:r>
              <m:t>j</m:t>
            </m:r>
          </m:sub>
        </m:sSub>
        <m:r>
          <m:t>,</m:t>
        </m:r>
        <m:sSup>
          <m:e>
            <m:r>
              <m:t>t</m:t>
            </m:r>
          </m:e>
          <m:sup>
            <m:r>
              <m:t>*</m:t>
            </m:r>
          </m:sup>
        </m:sSup>
        <m:r>
          <m:t>)</m:t>
        </m:r>
        <m:r>
          <m:t>=</m:t>
        </m:r>
        <m:r>
          <m:t>0</m:t>
        </m:r>
      </m:oMath>
      <w:r>
        <w:t xml:space="preserve"> </w:t>
      </w:r>
      <w:r>
        <w:t xml:space="preserve">we would have</w:t>
      </w:r>
      <w:r>
        <w:t xml:space="preserve"> </w:t>
      </w:r>
      <m:oMath>
        <m:sSub>
          <m:e>
            <m:r>
              <m:t>τ</m:t>
            </m:r>
          </m:e>
          <m:sub>
            <m:r>
              <m:t>1</m:t>
            </m:r>
          </m:sub>
        </m:sSub>
        <m:r>
          <m:t>(</m:t>
        </m:r>
        <m:sSub>
          <m:e>
            <m:bar>
              <m:barPr>
                <m:pos m:val="top"/>
              </m:barPr>
              <m:e>
                <m:r>
                  <m:rPr>
                    <m:sty m:val="b"/>
                  </m:rPr>
                  <m:t>v</m:t>
                </m:r>
              </m:e>
            </m:bar>
          </m:e>
          <m:sub>
            <m:r>
              <m:t>j</m:t>
            </m:r>
          </m:sub>
        </m:sSub>
        <m:r>
          <m:t>,</m:t>
        </m:r>
        <m:r>
          <m:t>t</m:t>
        </m:r>
        <m:r>
          <m:t>)</m:t>
        </m:r>
        <m:r>
          <m:t>&lt;</m:t>
        </m:r>
        <m:r>
          <m:t>0</m:t>
        </m:r>
      </m:oMath>
      <w:r>
        <w:t xml:space="preserve"> </w:t>
      </w:r>
      <w:r>
        <w:t xml:space="preserve">for</w:t>
      </w:r>
      <w:r>
        <w:t xml:space="preserve"> </w:t>
      </w:r>
      <m:oMath>
        <m:sSup>
          <m:e>
            <m:r>
              <m:t>t</m:t>
            </m:r>
          </m:e>
          <m:sup>
            <m:r>
              <m:t>*</m:t>
            </m:r>
          </m:sup>
        </m:sSup>
        <m:r>
          <m:t>−</m:t>
        </m:r>
        <m:r>
          <m:t>δ</m:t>
        </m:r>
        <m:r>
          <m:t>&lt;</m:t>
        </m:r>
        <m:r>
          <m:t>t</m:t>
        </m:r>
        <m:r>
          <m:t>&lt;</m:t>
        </m:r>
        <m:sSup>
          <m:e>
            <m:r>
              <m:t>t</m:t>
            </m:r>
          </m:e>
          <m:sup>
            <m:r>
              <m:t>*</m:t>
            </m:r>
          </m:sup>
        </m:sSup>
      </m:oMath>
      <w:r>
        <w:t xml:space="preserve">, contradicting once more the definition</w:t>
      </w:r>
      <w:r>
        <w:t xml:space="preserve"> </w:t>
      </w:r>
      <w:r>
        <w:t xml:space="preserve">of</w:t>
      </w:r>
      <w:r>
        <w:t xml:space="preserve"> </w:t>
      </w:r>
      <m:oMath>
        <m:sSup>
          <m:e>
            <m:r>
              <m:t>t</m:t>
            </m:r>
          </m:e>
          <m:sup>
            <m:r>
              <m:t>*</m:t>
            </m:r>
          </m:sup>
        </m:sSup>
      </m:oMath>
      <w:r>
        <w:t xml:space="preserve">. Thus, if we write the equation at</w:t>
      </w:r>
      <w:r>
        <w:t xml:space="preserve"> </w:t>
      </w:r>
      <m:oMath>
        <m:r>
          <m:t>t</m:t>
        </m:r>
        <m:r>
          <m:t>=</m:t>
        </m:r>
        <m:sSup>
          <m:e>
            <m:r>
              <m:t>t</m:t>
            </m:r>
          </m:e>
          <m:sup>
            <m:r>
              <m:t>*</m:t>
            </m:r>
          </m:sup>
        </m:sSup>
      </m:oMath>
      <w:r>
        <w:t xml:space="preserve"> </w:t>
      </w:r>
      <w:r>
        <w:t xml:space="preserve">and</w:t>
      </w:r>
      <w:r>
        <w:t xml:space="preserve"> </w:t>
      </w:r>
      <m:oMath>
        <m:sSub>
          <m:e>
            <m:r>
              <m:rPr>
                <m:sty m:val="b"/>
              </m:rPr>
              <m:t>v</m:t>
            </m:r>
          </m:e>
          <m:sub>
            <m:r>
              <m:t>j</m:t>
            </m:r>
          </m:sub>
        </m:sSub>
        <m:r>
          <m:t>=</m:t>
        </m:r>
        <m:sSub>
          <m:e>
            <m:bar>
              <m:barPr>
                <m:pos m:val="top"/>
              </m:barPr>
              <m:e>
                <m:r>
                  <m:rPr>
                    <m:sty m:val="b"/>
                  </m:rPr>
                  <m:t>v</m:t>
                </m:r>
              </m:e>
            </m:bar>
          </m:e>
          <m:sub>
            <m:r>
              <m:t>j</m:t>
            </m:r>
          </m:sub>
        </m:sSub>
      </m:oMath>
      <w:r>
        <w:t xml:space="preserve">, we have:</w:t>
      </w:r>
    </w:p>
    <w:p>
      <w:pPr>
        <w:pStyle w:val="BodyText"/>
      </w:pPr>
      <m:oMathPara>
        <m:oMathParaPr>
          <m:jc m:val="center"/>
        </m:oMathParaPr>
        <m:oMath>
          <m:r>
            <m:t>0</m:t>
          </m:r>
          <m:r>
            <m:t>≥</m:t>
          </m:r>
          <m:f>
            <m:fPr>
              <m:type m:val="bar"/>
            </m:fPr>
            <m:num>
              <m:r>
                <m:t>∂</m:t>
              </m:r>
              <m:sSub>
                <m:e>
                  <m:r>
                    <m:t>τ</m:t>
                  </m:r>
                </m:e>
                <m:sub>
                  <m:r>
                    <m:t>1</m:t>
                  </m:r>
                </m:sub>
              </m:sSub>
            </m:num>
            <m:den>
              <m:r>
                <m:t>∂</m:t>
              </m:r>
              <m:r>
                <m:t>t</m:t>
              </m:r>
            </m:den>
          </m:f>
          <m:r>
            <m:t>(</m:t>
          </m:r>
          <m:sSub>
            <m:e>
              <m:bar>
                <m:barPr>
                  <m:pos m:val="top"/>
                </m:barPr>
                <m:e>
                  <m:r>
                    <m:rPr>
                      <m:sty m:val="b"/>
                    </m:rPr>
                    <m:t>v</m:t>
                  </m:r>
                </m:e>
              </m:bar>
            </m:e>
            <m:sub>
              <m:r>
                <m:t>j</m:t>
              </m:r>
            </m:sub>
          </m:sSub>
          <m:r>
            <m:t>,</m:t>
          </m:r>
          <m:sSup>
            <m:e>
              <m:r>
                <m:t>t</m:t>
              </m:r>
            </m:e>
            <m:sup>
              <m:r>
                <m:t>*</m:t>
              </m:r>
            </m:sup>
          </m:sSup>
          <m:r>
            <m:t>)</m:t>
          </m:r>
          <m:r>
            <m:t>=</m:t>
          </m:r>
          <m:r>
            <m:t>−</m:t>
          </m:r>
          <m:sSub>
            <m:e>
              <m:r>
                <m:t>d</m:t>
              </m:r>
            </m:e>
            <m:sub>
              <m:r>
                <m:t>1</m:t>
              </m:r>
            </m:sub>
          </m:sSub>
          <m:sSub>
            <m:e>
              <m:r>
                <m:t>Δ</m:t>
              </m:r>
            </m:e>
            <m:sub>
              <m:r>
                <m:t>Γ</m:t>
              </m:r>
            </m:sub>
          </m:sSub>
          <m:sSub>
            <m:e>
              <m:r>
                <m:t>τ</m:t>
              </m:r>
            </m:e>
            <m:sub>
              <m:r>
                <m:t>1</m:t>
              </m:r>
            </m:sub>
          </m:sSub>
          <m:r>
            <m:t>(</m:t>
          </m:r>
          <m:bar>
            <m:barPr>
              <m:pos m:val="top"/>
            </m:barPr>
            <m:e>
              <m:sSub>
                <m:e>
                  <m:r>
                    <m:rPr>
                      <m:sty m:val="b"/>
                    </m:rPr>
                    <m:t>v</m:t>
                  </m:r>
                </m:e>
                <m:sub>
                  <m:r>
                    <m:t>j</m:t>
                  </m:r>
                </m:sub>
              </m:sSub>
            </m:e>
          </m:bar>
          <m:r>
            <m:t>,</m:t>
          </m:r>
          <m:sSup>
            <m:e>
              <m:r>
                <m:t>t</m:t>
              </m:r>
            </m:e>
            <m:sup>
              <m:r>
                <m:t>*</m:t>
              </m:r>
            </m:sup>
          </m:sSup>
          <m:r>
            <m:t>)</m:t>
          </m:r>
          <m:r>
            <m:t>+</m:t>
          </m:r>
          <m:sSub>
            <m:e>
              <m:r>
                <m:t>f</m:t>
              </m:r>
            </m:e>
            <m:sub>
              <m:r>
                <m:t>τ</m:t>
              </m:r>
            </m:sub>
          </m:sSub>
          <m:r>
            <m:t>(</m:t>
          </m:r>
          <m:bar>
            <m:barPr>
              <m:pos m:val="top"/>
            </m:barPr>
            <m:e>
              <m:sSub>
                <m:e>
                  <m:r>
                    <m:rPr>
                      <m:sty m:val="b"/>
                    </m:rPr>
                    <m:t>v</m:t>
                  </m:r>
                </m:e>
                <m:sub>
                  <m:r>
                    <m:t>j</m:t>
                  </m:r>
                </m:sub>
              </m:sSub>
            </m:e>
          </m:bar>
          <m:r>
            <m:t>,</m:t>
          </m:r>
          <m:sSup>
            <m:e>
              <m:r>
                <m:t>t</m:t>
              </m:r>
            </m:e>
            <m:sup>
              <m:r>
                <m:t>*</m:t>
              </m:r>
            </m:sup>
          </m:sSup>
          <m:r>
            <m:t>)</m:t>
          </m:r>
          <m:r>
            <m:t>.</m:t>
          </m:r>
        </m:oMath>
      </m:oMathPara>
    </w:p>
    <w:p>
      <w:pPr>
        <w:pStyle w:val="FirstParagraph"/>
      </w:pPr>
      <w:r>
        <w:t xml:space="preserve">Therefore:</w:t>
      </w:r>
    </w:p>
    <w:p>
      <w:pPr>
        <w:pStyle w:val="BodyText"/>
      </w:pPr>
      <m:oMathPara>
        <m:oMathParaPr>
          <m:jc m:val="center"/>
        </m:oMathParaPr>
        <m:oMath>
          <m:r>
            <m:t>−</m:t>
          </m:r>
          <m:sSub>
            <m:e>
              <m:r>
                <m:t>d</m:t>
              </m:r>
            </m:e>
            <m:sub>
              <m:r>
                <m:t>1</m:t>
              </m:r>
            </m:sub>
          </m:sSub>
          <m:sSub>
            <m:e>
              <m:r>
                <m:t>Δ</m:t>
              </m:r>
            </m:e>
            <m:sub>
              <m:r>
                <m:t>Γ</m:t>
              </m:r>
            </m:sub>
          </m:sSub>
          <m:sSub>
            <m:e>
              <m:r>
                <m:t>τ</m:t>
              </m:r>
            </m:e>
            <m:sub>
              <m:r>
                <m:t>1</m:t>
              </m:r>
            </m:sub>
          </m:sSub>
          <m:r>
            <m:t>(</m:t>
          </m:r>
          <m:bar>
            <m:barPr>
              <m:pos m:val="top"/>
            </m:barPr>
            <m:e>
              <m:sSub>
                <m:e>
                  <m:r>
                    <m:rPr>
                      <m:sty m:val="b"/>
                    </m:rPr>
                    <m:t>v</m:t>
                  </m:r>
                </m:e>
                <m:sub>
                  <m:r>
                    <m:t>j</m:t>
                  </m:r>
                </m:sub>
              </m:sSub>
            </m:e>
          </m:bar>
          <m:r>
            <m:t>,</m:t>
          </m:r>
          <m:sSup>
            <m:e>
              <m:r>
                <m:t>t</m:t>
              </m:r>
            </m:e>
            <m:sup>
              <m:r>
                <m:t>*</m:t>
              </m:r>
            </m:sup>
          </m:sSup>
          <m:r>
            <m:t>)</m:t>
          </m:r>
          <m:r>
            <m:t>≤</m:t>
          </m:r>
          <m:r>
            <m:t>−</m:t>
          </m:r>
          <m:sSub>
            <m:e>
              <m:r>
                <m:t>f</m:t>
              </m:r>
            </m:e>
            <m:sub>
              <m:r>
                <m:t>τ</m:t>
              </m:r>
            </m:sub>
          </m:sSub>
          <m:r>
            <m:t>(</m:t>
          </m:r>
          <m:bar>
            <m:barPr>
              <m:pos m:val="top"/>
            </m:barPr>
            <m:e>
              <m:sSub>
                <m:e>
                  <m:r>
                    <m:rPr>
                      <m:sty m:val="b"/>
                    </m:rPr>
                    <m:t>v</m:t>
                  </m:r>
                </m:e>
                <m:sub>
                  <m:r>
                    <m:t>j</m:t>
                  </m:r>
                </m:sub>
              </m:sSub>
            </m:e>
          </m:bar>
          <m:r>
            <m:t>,</m:t>
          </m:r>
          <m:sSup>
            <m:e>
              <m:r>
                <m:t>t</m:t>
              </m:r>
            </m:e>
            <m:sup>
              <m:r>
                <m:t>*</m:t>
              </m:r>
            </m:sup>
          </m:sSup>
          <m:r>
            <m:t>)</m:t>
          </m:r>
          <m:r>
            <m:t>,</m:t>
          </m:r>
        </m:oMath>
      </m:oMathPara>
    </w:p>
    <w:p>
      <w:pPr>
        <w:pStyle w:val="FirstParagraph"/>
      </w:pPr>
      <w:r>
        <w:t xml:space="preserve">and, keeping in mind that as</w:t>
      </w:r>
      <w:r>
        <w:t xml:space="preserve"> </w:t>
      </w:r>
      <m:oMath>
        <m:sSub>
          <m:e>
            <m:r>
              <m:t>f</m:t>
            </m:r>
          </m:e>
          <m:sub>
            <m:r>
              <m:t>τ</m:t>
            </m:r>
          </m:sub>
        </m:sSub>
        <m:r>
          <m:t>(</m:t>
        </m:r>
        <m:sSub>
          <m:e>
            <m:r>
              <m:rPr>
                <m:sty m:val="b"/>
              </m:rPr>
              <m:t>v</m:t>
            </m:r>
          </m:e>
          <m:sub>
            <m:r>
              <m:t>j</m:t>
            </m:r>
          </m:sub>
        </m:sSub>
        <m:r>
          <m:t>,</m:t>
        </m:r>
        <m:r>
          <m:t>t</m:t>
        </m:r>
        <m:r>
          <m:t>)</m:t>
        </m:r>
        <m:r>
          <m:t>&gt;</m:t>
        </m:r>
        <m:r>
          <m:t>0</m:t>
        </m:r>
      </m:oMath>
      <w:r>
        <w:t xml:space="preserve"> </w:t>
      </w:r>
      <w:r>
        <w:t xml:space="preserve">for all</w:t>
      </w:r>
      <w:r>
        <w:t xml:space="preserve"> </w:t>
      </w:r>
      <m:oMath>
        <m:sSub>
          <m:e>
            <m:r>
              <m:rPr>
                <m:sty m:val="b"/>
              </m:rPr>
              <m:t>v</m:t>
            </m:r>
          </m:e>
          <m:sub>
            <m:r>
              <m:t>j</m:t>
            </m:r>
          </m:sub>
        </m:sSub>
        <m:r>
          <m:t>∈</m:t>
        </m:r>
        <m:r>
          <m:t>V</m:t>
        </m:r>
        <m:r>
          <m:t>(</m:t>
        </m:r>
        <m:r>
          <m:t>Γ</m:t>
        </m:r>
        <m:r>
          <m:t>)</m:t>
        </m:r>
      </m:oMath>
      <w:r>
        <w:t xml:space="preserve"> </w:t>
      </w:r>
      <w:r>
        <w:t xml:space="preserve">and</w:t>
      </w:r>
      <w:r>
        <w:t xml:space="preserve"> </w:t>
      </w:r>
      <m:oMath>
        <m:r>
          <m:t>t</m:t>
        </m:r>
        <m:r>
          <m:t>&gt;</m:t>
        </m:r>
        <m:r>
          <m:t>0</m:t>
        </m:r>
      </m:oMath>
      <w:r>
        <w:t xml:space="preserve">, we have eventually that</w:t>
      </w:r>
    </w:p>
    <w:p>
      <w:pPr>
        <w:pStyle w:val="BodyText"/>
      </w:pPr>
      <m:oMathPara>
        <m:oMathParaPr>
          <m:jc m:val="center"/>
        </m:oMathParaPr>
        <m:oMath>
          <m:r>
            <m:t>−</m:t>
          </m:r>
          <m:sSub>
            <m:e>
              <m:r>
                <m:t>Δ</m:t>
              </m:r>
            </m:e>
            <m:sub>
              <m:r>
                <m:t>Γ</m:t>
              </m:r>
            </m:sub>
          </m:sSub>
          <m:sSub>
            <m:e>
              <m:r>
                <m:t>τ</m:t>
              </m:r>
            </m:e>
            <m:sub>
              <m:r>
                <m:t>1</m:t>
              </m:r>
            </m:sub>
          </m:sSub>
          <m:r>
            <m:t>(</m:t>
          </m:r>
          <m:bar>
            <m:barPr>
              <m:pos m:val="top"/>
            </m:barPr>
            <m:e>
              <m:sSub>
                <m:e>
                  <m:r>
                    <m:rPr>
                      <m:sty m:val="b"/>
                    </m:rPr>
                    <m:t>v</m:t>
                  </m:r>
                </m:e>
                <m:sub>
                  <m:r>
                    <m:t>j</m:t>
                  </m:r>
                </m:sub>
              </m:sSub>
            </m:e>
          </m:bar>
          <m:r>
            <m:t>,</m:t>
          </m:r>
          <m:sSup>
            <m:e>
              <m:r>
                <m:t>t</m:t>
              </m:r>
            </m:e>
            <m:sup>
              <m:r>
                <m:t>*</m:t>
              </m:r>
            </m:sup>
          </m:sSup>
          <m:r>
            <m:t>)</m:t>
          </m:r>
          <m:r>
            <m:t>&lt;</m:t>
          </m:r>
          <m:r>
            <m:t>0</m:t>
          </m:r>
        </m:oMath>
      </m:oMathPara>
    </w:p>
    <w:p>
      <w:pPr>
        <w:pStyle w:val="FirstParagraph"/>
      </w:pPr>
      <w:r>
        <w:t xml:space="preserve">On the other hand, as</w:t>
      </w:r>
      <w:r>
        <w:t xml:space="preserve"> </w:t>
      </w:r>
      <m:oMath>
        <m:sSub>
          <m:e>
            <m:r>
              <m:t>τ</m:t>
            </m:r>
          </m:e>
          <m:sub>
            <m:r>
              <m:t>1</m:t>
            </m:r>
          </m:sub>
        </m:sSub>
        <m:r>
          <m:t>(</m:t>
        </m:r>
        <m:bar>
          <m:barPr>
            <m:pos m:val="top"/>
          </m:barPr>
          <m:e>
            <m:sSub>
              <m:e>
                <m:r>
                  <m:rPr>
                    <m:sty m:val="b"/>
                  </m:rPr>
                  <m:t>v</m:t>
                </m:r>
              </m:e>
              <m:sub>
                <m:r>
                  <m:t>j</m:t>
                </m:r>
              </m:sub>
            </m:sSub>
          </m:e>
        </m:bar>
        <m:r>
          <m:t>,</m:t>
        </m:r>
        <m:sSup>
          <m:e>
            <m:r>
              <m:t>t</m:t>
            </m:r>
          </m:e>
          <m:sup>
            <m:r>
              <m:t>*</m:t>
            </m:r>
          </m:sup>
        </m:sSup>
        <m:r>
          <m:t>)</m:t>
        </m:r>
        <m:r>
          <m:t>=</m:t>
        </m:r>
        <m:r>
          <m:t>0</m:t>
        </m:r>
      </m:oMath>
      <w:r>
        <w:t xml:space="preserve">, we have</w:t>
      </w:r>
    </w:p>
    <w:p>
      <w:pPr>
        <w:pStyle w:val="BodyText"/>
      </w:pPr>
      <m:oMathPara>
        <m:oMathParaPr>
          <m:jc m:val="center"/>
        </m:oMathParaPr>
        <m:oMath>
          <m:r>
            <m:t>−</m:t>
          </m:r>
          <m:sSub>
            <m:e>
              <m:r>
                <m:t>Δ</m:t>
              </m:r>
            </m:e>
            <m:sub>
              <m:r>
                <m:t>Γ</m:t>
              </m:r>
            </m:sub>
          </m:sSub>
          <m:sSub>
            <m:e>
              <m:r>
                <m:t>τ</m:t>
              </m:r>
            </m:e>
            <m:sub>
              <m:r>
                <m:t>1</m:t>
              </m:r>
            </m:sub>
          </m:sSub>
          <m:r>
            <m:t>(</m:t>
          </m:r>
          <m:bar>
            <m:barPr>
              <m:pos m:val="top"/>
            </m:barPr>
            <m:e>
              <m:sSub>
                <m:e>
                  <m:r>
                    <m:rPr>
                      <m:sty m:val="b"/>
                    </m:rPr>
                    <m:t>v</m:t>
                  </m:r>
                </m:e>
                <m:sub>
                  <m:r>
                    <m:t>j</m:t>
                  </m:r>
                </m:sub>
              </m:sSub>
            </m:e>
          </m:bar>
          <m:r>
            <m:t>,</m:t>
          </m:r>
          <m:sSup>
            <m:e>
              <m:r>
                <m:t>t</m:t>
              </m:r>
            </m:e>
            <m:sup>
              <m:r>
                <m:t>*</m:t>
              </m:r>
            </m:sup>
          </m:sSup>
          <m:r>
            <m:t>)</m:t>
          </m:r>
          <m:r>
            <m:t>=</m:t>
          </m:r>
          <m:nary>
            <m:naryPr>
              <m:chr m:val="∑"/>
              <m:limLoc m:val="undOvr"/>
              <m:subHide m:val="0"/>
              <m:supHide m:val="1"/>
            </m:naryPr>
            <m:sub>
              <m:sSub>
                <m:e>
                  <m:r>
                    <m:rPr>
                      <m:sty m:val="b"/>
                    </m:rPr>
                    <m:t>v</m:t>
                  </m:r>
                </m:e>
                <m:sub>
                  <m:r>
                    <m:t>i</m:t>
                  </m:r>
                </m:sub>
              </m:sSub>
              <m:r>
                <m:t>∼</m:t>
              </m:r>
              <m:sSub>
                <m:e>
                  <m:bar>
                    <m:barPr>
                      <m:pos m:val="top"/>
                    </m:barPr>
                    <m:e>
                      <m:r>
                        <m:rPr>
                          <m:sty m:val="b"/>
                        </m:rPr>
                        <m:t>v</m:t>
                      </m:r>
                    </m:e>
                  </m:bar>
                </m:e>
                <m:sub>
                  <m:r>
                    <m:t>j</m:t>
                  </m:r>
                </m:sub>
              </m:sSub>
            </m:sub>
            <m:sup/>
            <m:e>
              <m:r>
                <m:t>(</m:t>
              </m:r>
            </m:e>
          </m:nary>
          <m:sSub>
            <m:e>
              <m:r>
                <m:t>τ</m:t>
              </m:r>
            </m:e>
            <m:sub>
              <m:r>
                <m:t>1</m:t>
              </m:r>
            </m:sub>
          </m:sSub>
          <m:r>
            <m:t>(</m:t>
          </m:r>
          <m:sSub>
            <m:e>
              <m:r>
                <m:rPr>
                  <m:sty m:val="b"/>
                </m:rPr>
                <m:t>v</m:t>
              </m:r>
            </m:e>
            <m:sub>
              <m:r>
                <m:t>i</m:t>
              </m:r>
            </m:sub>
          </m:sSub>
          <m:r>
            <m:t>,</m:t>
          </m:r>
          <m:sSup>
            <m:e>
              <m:r>
                <m:t>t</m:t>
              </m:r>
            </m:e>
            <m:sup>
              <m:r>
                <m:t>*</m:t>
              </m:r>
            </m:sup>
          </m:sSup>
          <m:r>
            <m:t>)</m:t>
          </m:r>
          <m:r>
            <m:t>−</m:t>
          </m:r>
          <m:sSub>
            <m:e>
              <m:r>
                <m:t>τ</m:t>
              </m:r>
            </m:e>
            <m:sub>
              <m:r>
                <m:t>1</m:t>
              </m:r>
            </m:sub>
          </m:sSub>
          <m:r>
            <m:t>(</m:t>
          </m:r>
          <m:bar>
            <m:barPr>
              <m:pos m:val="top"/>
            </m:barPr>
            <m:e>
              <m:sSub>
                <m:e>
                  <m:r>
                    <m:rPr>
                      <m:sty m:val="b"/>
                    </m:rPr>
                    <m:t>v</m:t>
                  </m:r>
                </m:e>
                <m:sub>
                  <m:r>
                    <m:t>j</m:t>
                  </m:r>
                </m:sub>
              </m:sSub>
            </m:e>
          </m:bar>
          <m:r>
            <m:t>,</m:t>
          </m:r>
          <m:sSup>
            <m:e>
              <m:r>
                <m:t>t</m:t>
              </m:r>
            </m:e>
            <m:sup>
              <m:r>
                <m:t>*</m:t>
              </m:r>
            </m:sup>
          </m:sSup>
          <m:r>
            <m:t>)</m:t>
          </m:r>
          <m:r>
            <m:t>)</m:t>
          </m:r>
          <m:sSub>
            <m:e>
              <m:r>
                <m:t>c</m:t>
              </m:r>
            </m:e>
            <m:sub>
              <m:r>
                <m:t>i</m:t>
              </m:r>
              <m:r>
                <m:t>j</m:t>
              </m:r>
            </m:sub>
          </m:sSub>
          <m:r>
            <m:t>=</m:t>
          </m:r>
          <m:nary>
            <m:naryPr>
              <m:chr m:val="∑"/>
              <m:limLoc m:val="undOvr"/>
              <m:subHide m:val="0"/>
              <m:supHide m:val="1"/>
            </m:naryPr>
            <m:sub>
              <m:sSub>
                <m:e>
                  <m:r>
                    <m:rPr>
                      <m:sty m:val="b"/>
                    </m:rPr>
                    <m:t>v</m:t>
                  </m:r>
                </m:e>
                <m:sub>
                  <m:r>
                    <m:t>i</m:t>
                  </m:r>
                </m:sub>
              </m:sSub>
              <m:r>
                <m:t>∼</m:t>
              </m:r>
              <m:sSub>
                <m:e>
                  <m:bar>
                    <m:barPr>
                      <m:pos m:val="top"/>
                    </m:barPr>
                    <m:e>
                      <m:r>
                        <m:rPr>
                          <m:sty m:val="b"/>
                        </m:rPr>
                        <m:t>v</m:t>
                      </m:r>
                    </m:e>
                  </m:bar>
                </m:e>
                <m:sub>
                  <m:r>
                    <m:t>j</m:t>
                  </m:r>
                </m:sub>
              </m:sSub>
            </m:sub>
            <m:sup/>
            <m:e>
              <m:sSub>
                <m:e>
                  <m:r>
                    <m:t>c</m:t>
                  </m:r>
                </m:e>
                <m:sub>
                  <m:r>
                    <m:t>i</m:t>
                  </m:r>
                  <m:r>
                    <m:t>j</m:t>
                  </m:r>
                </m:sub>
              </m:sSub>
            </m:e>
          </m:nary>
          <m:sSub>
            <m:e>
              <m:r>
                <m:t>τ</m:t>
              </m:r>
            </m:e>
            <m:sub>
              <m:r>
                <m:t>1</m:t>
              </m:r>
            </m:sub>
          </m:sSub>
          <m:r>
            <m:t>(</m:t>
          </m:r>
          <m:sSub>
            <m:e>
              <m:r>
                <m:rPr>
                  <m:sty m:val="b"/>
                </m:rPr>
                <m:t>v</m:t>
              </m:r>
            </m:e>
            <m:sub>
              <m:r>
                <m:t>i</m:t>
              </m:r>
            </m:sub>
          </m:sSub>
          <m:r>
            <m:t>,</m:t>
          </m:r>
          <m:sSup>
            <m:e>
              <m:r>
                <m:t>t</m:t>
              </m:r>
            </m:e>
            <m:sup>
              <m:r>
                <m:t>*</m:t>
              </m:r>
            </m:sup>
          </m:sSup>
          <m:r>
            <m:t>)</m:t>
          </m:r>
          <m:r>
            <m:t>,</m:t>
          </m:r>
        </m:oMath>
      </m:oMathPara>
    </w:p>
    <w:p>
      <w:pPr>
        <w:pStyle w:val="FirstParagraph"/>
      </w:pPr>
      <w:r>
        <w:t xml:space="preserve">so that</w:t>
      </w:r>
    </w:p>
    <w:p>
      <w:pPr>
        <w:pStyle w:val="BodyText"/>
      </w:pPr>
      <m:oMathPara>
        <m:oMathParaPr>
          <m:jc m:val="center"/>
        </m:oMathParaPr>
        <m:oMath>
          <m:nary>
            <m:naryPr>
              <m:chr m:val="∑"/>
              <m:limLoc m:val="undOvr"/>
              <m:subHide m:val="0"/>
              <m:supHide m:val="1"/>
            </m:naryPr>
            <m:sub>
              <m:sSub>
                <m:e>
                  <m:r>
                    <m:rPr>
                      <m:sty m:val="b"/>
                    </m:rPr>
                    <m:t>v</m:t>
                  </m:r>
                </m:e>
                <m:sub>
                  <m:r>
                    <m:t>i</m:t>
                  </m:r>
                </m:sub>
              </m:sSub>
              <m:r>
                <m:t>∼</m:t>
              </m:r>
              <m:sSub>
                <m:e>
                  <m:bar>
                    <m:barPr>
                      <m:pos m:val="top"/>
                    </m:barPr>
                    <m:e>
                      <m:r>
                        <m:rPr>
                          <m:sty m:val="b"/>
                        </m:rPr>
                        <m:t>v</m:t>
                      </m:r>
                    </m:e>
                  </m:bar>
                </m:e>
                <m:sub>
                  <m:r>
                    <m:t>j</m:t>
                  </m:r>
                </m:sub>
              </m:sSub>
            </m:sub>
            <m:sup/>
            <m:e>
              <m:sSub>
                <m:e>
                  <m:r>
                    <m:t>c</m:t>
                  </m:r>
                </m:e>
                <m:sub>
                  <m:r>
                    <m:t>i</m:t>
                  </m:r>
                  <m:r>
                    <m:t>j</m:t>
                  </m:r>
                </m:sub>
              </m:sSub>
            </m:e>
          </m:nary>
          <m:sSub>
            <m:e>
              <m:r>
                <m:t>τ</m:t>
              </m:r>
            </m:e>
            <m:sub>
              <m:r>
                <m:t>1</m:t>
              </m:r>
            </m:sub>
          </m:sSub>
          <m:r>
            <m:t>(</m:t>
          </m:r>
          <m:sSup>
            <m:e>
              <m:r>
                <m:t>t</m:t>
              </m:r>
            </m:e>
            <m:sup>
              <m:r>
                <m:t>*</m:t>
              </m:r>
            </m:sup>
          </m:sSup>
          <m:r>
            <m:t>,</m:t>
          </m:r>
          <m:sSub>
            <m:e>
              <m:r>
                <m:rPr>
                  <m:sty m:val="b"/>
                </m:rPr>
                <m:t>v</m:t>
              </m:r>
            </m:e>
            <m:sub>
              <m:r>
                <m:t>i</m:t>
              </m:r>
            </m:sub>
          </m:sSub>
          <m:r>
            <m:t>)</m:t>
          </m:r>
          <m:r>
            <m:t>&lt;</m:t>
          </m:r>
          <m:r>
            <m:t>0</m:t>
          </m:r>
        </m:oMath>
      </m:oMathPara>
    </w:p>
    <w:p>
      <w:pPr>
        <w:pStyle w:val="FirstParagraph"/>
      </w:pPr>
      <w:r>
        <w:t xml:space="preserve">This means that there exists a vertex</w:t>
      </w:r>
      <w:r>
        <w:t xml:space="preserve"> </w:t>
      </w:r>
      <m:oMath>
        <m:sSub>
          <m:e>
            <m:bar>
              <m:barPr>
                <m:pos m:val="top"/>
              </m:barPr>
              <m:e>
                <m:r>
                  <m:rPr>
                    <m:sty m:val="b"/>
                  </m:rPr>
                  <m:t>v</m:t>
                </m:r>
              </m:e>
            </m:bar>
          </m:e>
          <m:sub>
            <m:r>
              <m:t>i</m:t>
            </m:r>
          </m:sub>
        </m:sSub>
        <m:r>
          <m:t>∈</m:t>
        </m:r>
        <m:r>
          <m:t>V</m:t>
        </m:r>
        <m:r>
          <m:t>(</m:t>
        </m:r>
        <m:r>
          <m:t>Γ</m:t>
        </m:r>
        <m:r>
          <m:t>)</m:t>
        </m:r>
      </m:oMath>
      <w:r>
        <w:t xml:space="preserve">,</w:t>
      </w:r>
      <w:r>
        <w:t xml:space="preserve"> </w:t>
      </w:r>
      <m:oMath>
        <m:sSub>
          <m:e>
            <m:bar>
              <m:barPr>
                <m:pos m:val="top"/>
              </m:barPr>
              <m:e>
                <m:r>
                  <m:rPr>
                    <m:sty m:val="b"/>
                  </m:rPr>
                  <m:t>v</m:t>
                </m:r>
              </m:e>
            </m:bar>
          </m:e>
          <m:sub>
            <m:r>
              <m:t>i</m:t>
            </m:r>
          </m:sub>
        </m:sSub>
        <m:r>
          <m:t>∼</m:t>
        </m:r>
        <m:sSub>
          <m:e>
            <m:bar>
              <m:barPr>
                <m:pos m:val="top"/>
              </m:barPr>
              <m:e>
                <m:r>
                  <m:rPr>
                    <m:sty m:val="b"/>
                  </m:rPr>
                  <m:t>v</m:t>
                </m:r>
              </m:e>
            </m:bar>
          </m:e>
          <m:sub>
            <m:r>
              <m:t>j</m:t>
            </m:r>
          </m:sub>
        </m:sSub>
      </m:oMath>
      <w:r>
        <w:t xml:space="preserve"> </w:t>
      </w:r>
      <w:r>
        <w:t xml:space="preserve">such that</w:t>
      </w:r>
      <w:r>
        <w:t xml:space="preserve"> </w:t>
      </w:r>
      <m:oMath>
        <m:sSub>
          <m:e>
            <m:r>
              <m:t>τ</m:t>
            </m:r>
          </m:e>
          <m:sub>
            <m:r>
              <m:t>1</m:t>
            </m:r>
          </m:sub>
        </m:sSub>
        <m:r>
          <m:t>(</m:t>
        </m:r>
        <m:sSub>
          <m:e>
            <m:bar>
              <m:barPr>
                <m:pos m:val="top"/>
              </m:barPr>
              <m:e>
                <m:r>
                  <m:rPr>
                    <m:sty m:val="b"/>
                  </m:rPr>
                  <m:t>v</m:t>
                </m:r>
              </m:e>
            </m:bar>
          </m:e>
          <m:sub>
            <m:r>
              <m:t>i</m:t>
            </m:r>
          </m:sub>
        </m:sSub>
        <m:r>
          <m:t>,</m:t>
        </m:r>
        <m:sSup>
          <m:e>
            <m:r>
              <m:t>t</m:t>
            </m:r>
          </m:e>
          <m:sup>
            <m:r>
              <m:t>*</m:t>
            </m:r>
          </m:sup>
        </m:sSup>
        <m:r>
          <m:t>)</m:t>
        </m:r>
        <m:r>
          <m:t>&lt;</m:t>
        </m:r>
        <m:r>
          <m:t>0</m:t>
        </m:r>
      </m:oMath>
      <w:r>
        <w:t xml:space="preserve"> </w:t>
      </w:r>
      <w:r>
        <w:t xml:space="preserve">and consequently</w:t>
      </w:r>
      <w:r>
        <w:t xml:space="preserve"> </w:t>
      </w:r>
      <m:oMath>
        <m:sSub>
          <m:e>
            <m:r>
              <m:t>τ</m:t>
            </m:r>
          </m:e>
          <m:sub>
            <m:r>
              <m:t>1</m:t>
            </m:r>
          </m:sub>
        </m:sSub>
        <m:r>
          <m:t>(</m:t>
        </m:r>
        <m:sSub>
          <m:e>
            <m:bar>
              <m:barPr>
                <m:pos m:val="top"/>
              </m:barPr>
              <m:e>
                <m:r>
                  <m:rPr>
                    <m:sty m:val="b"/>
                  </m:rPr>
                  <m:t>v</m:t>
                </m:r>
              </m:e>
            </m:bar>
          </m:e>
          <m:sub>
            <m:r>
              <m:t>i</m:t>
            </m:r>
          </m:sub>
        </m:sSub>
        <m:r>
          <m:t>,</m:t>
        </m:r>
        <m:r>
          <m:t>t</m:t>
        </m:r>
        <m:r>
          <m:t>)</m:t>
        </m:r>
        <m:r>
          <m:t>&lt;</m:t>
        </m:r>
        <m:r>
          <m:t>0</m:t>
        </m:r>
      </m:oMath>
      <w:r>
        <w:t xml:space="preserve"> </w:t>
      </w:r>
      <w:r>
        <w:t xml:space="preserve">for</w:t>
      </w:r>
      <w:r>
        <w:t xml:space="preserve"> </w:t>
      </w:r>
      <m:oMath>
        <m:sSup>
          <m:e>
            <m:r>
              <m:t>t</m:t>
            </m:r>
          </m:e>
          <m:sup>
            <m:r>
              <m:t>*</m:t>
            </m:r>
          </m:sup>
        </m:sSup>
        <m:r>
          <m:t>−</m:t>
        </m:r>
        <m:r>
          <m:t>δ</m:t>
        </m:r>
        <m:r>
          <m:t>&lt;</m:t>
        </m:r>
        <m:r>
          <m:t>t</m:t>
        </m:r>
        <m:r>
          <m:t>&lt;</m:t>
        </m:r>
        <m:sSup>
          <m:e>
            <m:r>
              <m:t>t</m:t>
            </m:r>
          </m:e>
          <m:sup>
            <m:r>
              <m:t>*</m:t>
            </m:r>
          </m:sup>
        </m:sSup>
      </m:oMath>
      <w:r>
        <w:t xml:space="preserve">, This contradicts the fact that</w:t>
      </w:r>
      <w:r>
        <w:t xml:space="preserve"> </w:t>
      </w:r>
      <m:oMath>
        <m:sSub>
          <m:e>
            <m:r>
              <m:t>τ</m:t>
            </m:r>
          </m:e>
          <m:sub>
            <m:r>
              <m:t>1</m:t>
            </m:r>
          </m:sub>
        </m:sSub>
        <m:r>
          <m:t>(</m:t>
        </m:r>
        <m:sSub>
          <m:e>
            <m:r>
              <m:rPr>
                <m:sty m:val="b"/>
              </m:rPr>
              <m:t>v</m:t>
            </m:r>
          </m:e>
          <m:sub>
            <m:r>
              <m:t>i</m:t>
            </m:r>
          </m:sub>
        </m:sSub>
        <m:r>
          <m:t>,</m:t>
        </m:r>
        <m:r>
          <m:t>t</m:t>
        </m:r>
        <m:r>
          <m:t>)</m:t>
        </m:r>
        <m:r>
          <m:t>&gt;</m:t>
        </m:r>
        <m:r>
          <m:t>0</m:t>
        </m:r>
      </m:oMath>
      <w:r>
        <w:t xml:space="preserve"> </w:t>
      </w:r>
      <w:r>
        <w:t xml:space="preserve">for all</w:t>
      </w:r>
      <w:r>
        <w:t xml:space="preserve"> </w:t>
      </w:r>
      <m:oMath>
        <m:sSub>
          <m:e>
            <m:r>
              <m:rPr>
                <m:sty m:val="b"/>
              </m:rPr>
              <m:t>v</m:t>
            </m:r>
          </m:e>
          <m:sub>
            <m:r>
              <m:t>i</m:t>
            </m:r>
          </m:sub>
        </m:sSub>
        <m:r>
          <m:t>∈</m:t>
        </m:r>
        <m:r>
          <m:t>V</m:t>
        </m:r>
        <m:r>
          <m:t>(</m:t>
        </m:r>
        <m:r>
          <m:t>Γ</m:t>
        </m:r>
        <m:r>
          <m:t>)</m:t>
        </m:r>
      </m:oMath>
      <w:r>
        <w:t xml:space="preserve"> </w:t>
      </w:r>
      <w:r>
        <w:t xml:space="preserve">and for</w:t>
      </w:r>
      <w:r>
        <w:t xml:space="preserve"> </w:t>
      </w:r>
      <m:oMath>
        <m:r>
          <m:t>t</m:t>
        </m:r>
        <m:r>
          <m:t>&lt;</m:t>
        </m:r>
        <m:sSup>
          <m:e>
            <m:r>
              <m:t>t</m:t>
            </m:r>
          </m:e>
          <m:sup>
            <m:r>
              <m:t>*</m:t>
            </m:r>
          </m:sup>
        </m:sSup>
      </m:oMath>
      <w:r>
        <w:t xml:space="preserve">.</w:t>
      </w:r>
    </w:p>
    <w:p>
      <w:pPr>
        <w:pStyle w:val="BodyText"/>
      </w:pPr>
      <w:r>
        <w:t xml:space="preserve">This proves that</w:t>
      </w:r>
      <w:r>
        <w:t xml:space="preserve"> </w:t>
      </w:r>
      <m:oMath>
        <m:sSub>
          <m:e>
            <m:r>
              <m:t>τ</m:t>
            </m:r>
          </m:e>
          <m:sub>
            <m:r>
              <m:t>1</m:t>
            </m:r>
          </m:sub>
        </m:sSub>
        <m:r>
          <m:t>(</m:t>
        </m:r>
        <m:sSub>
          <m:e>
            <m:r>
              <m:rPr>
                <m:sty m:val="b"/>
              </m:rPr>
              <m:t>v</m:t>
            </m:r>
          </m:e>
          <m:sub>
            <m:r>
              <m:t>j</m:t>
            </m:r>
          </m:sub>
        </m:sSub>
        <m:r>
          <m:t>,</m:t>
        </m:r>
        <m:r>
          <m:t>t</m:t>
        </m:r>
        <m:r>
          <m:t>)</m:t>
        </m:r>
        <m:r>
          <m:t>&gt;</m:t>
        </m:r>
        <m:r>
          <m:t>0</m:t>
        </m:r>
      </m:oMath>
      <w:r>
        <w:t xml:space="preserve"> </w:t>
      </w:r>
      <w:r>
        <w:t xml:space="preserve">for all</w:t>
      </w:r>
      <w:r>
        <w:t xml:space="preserve"> </w:t>
      </w:r>
      <m:oMath>
        <m:sSub>
          <m:e>
            <m:r>
              <m:rPr>
                <m:sty m:val="b"/>
              </m:rPr>
              <m:t>v</m:t>
            </m:r>
          </m:e>
          <m:sub>
            <m:r>
              <m:t>j</m:t>
            </m:r>
          </m:sub>
        </m:sSub>
        <m:r>
          <m:t>∈</m:t>
        </m:r>
        <m:r>
          <m:t>V</m:t>
        </m:r>
        <m:r>
          <m:t>(</m:t>
        </m:r>
        <m:r>
          <m:t>Γ</m:t>
        </m:r>
        <m:r>
          <m:t>)</m:t>
        </m:r>
      </m:oMath>
      <w:r>
        <w:t xml:space="preserve"> </w:t>
      </w:r>
      <w:r>
        <w:t xml:space="preserve">and for</w:t>
      </w:r>
      <w:r>
        <w:t xml:space="preserve"> </w:t>
      </w:r>
      <m:oMath>
        <m:sSub>
          <m:e>
            <m:r>
              <m:t>t</m:t>
            </m:r>
          </m:e>
          <m:sub>
            <m:r>
              <m:t>m</m:t>
            </m:r>
            <m:r>
              <m:t>i</m:t>
            </m:r>
            <m:r>
              <m:t>n</m:t>
            </m:r>
          </m:sub>
        </m:sSub>
        <m:r>
          <m:t>&lt;</m:t>
        </m:r>
        <m:r>
          <m:t>t</m:t>
        </m:r>
        <m:r>
          <m:t>&lt;</m:t>
        </m:r>
        <m:sSub>
          <m:e>
            <m:r>
              <m:t>t</m:t>
            </m:r>
          </m:e>
          <m:sub>
            <m:r>
              <m:t>m</m:t>
            </m:r>
            <m:r>
              <m:t>a</m:t>
            </m:r>
            <m:r>
              <m:t>x</m:t>
            </m:r>
          </m:sub>
        </m:sSub>
      </m:oMath>
      <w:r>
        <w:t xml:space="preserve">.</w:t>
      </w:r>
    </w:p>
    <w:p>
      <w:pPr>
        <w:pStyle w:val="BodyText"/>
      </w:pPr>
      <w:r>
        <w:t xml:space="preserve">We prove now by induction that</w:t>
      </w:r>
      <w:r>
        <w:t xml:space="preserve"> </w:t>
      </w:r>
      <m:oMath>
        <m:sSub>
          <m:e>
            <m:r>
              <m:t>τ</m:t>
            </m:r>
          </m:e>
          <m:sub>
            <m:r>
              <m:t>m</m:t>
            </m:r>
          </m:sub>
        </m:sSub>
        <m:r>
          <m:t>(</m:t>
        </m:r>
        <m:sSub>
          <m:e>
            <m:r>
              <m:rPr>
                <m:sty m:val="b"/>
              </m:rPr>
              <m:t>v</m:t>
            </m:r>
          </m:e>
          <m:sub>
            <m:r>
              <m:t>j</m:t>
            </m:r>
          </m:sub>
        </m:sSub>
        <m:r>
          <m:t>,</m:t>
        </m:r>
        <m:r>
          <m:t>t</m:t>
        </m:r>
        <m:r>
          <m:t>)</m:t>
        </m:r>
        <m:r>
          <m:t>&gt;</m:t>
        </m:r>
        <m:r>
          <m:t>0</m:t>
        </m:r>
      </m:oMath>
      <w:r>
        <w:t xml:space="preserve"> </w:t>
      </w:r>
      <w:r>
        <w:t xml:space="preserve">when</w:t>
      </w:r>
      <w:r>
        <w:t xml:space="preserve"> </w:t>
      </w:r>
      <m:oMath>
        <m:r>
          <m:t>1</m:t>
        </m:r>
        <m:r>
          <m:t>≤</m:t>
        </m:r>
        <m:r>
          <m:t>m</m:t>
        </m:r>
        <m:r>
          <m:t>≤</m:t>
        </m:r>
        <m:r>
          <m:t>M</m:t>
        </m:r>
      </m:oMath>
      <w:r>
        <w:t xml:space="preserve">. We have already proved that the assertion</w:t>
      </w:r>
      <w:r>
        <w:t xml:space="preserve"> </w:t>
      </w:r>
      <w:r>
        <w:t xml:space="preserve">is true for</w:t>
      </w:r>
      <w:r>
        <w:t xml:space="preserve"> </w:t>
      </w:r>
      <m:oMath>
        <m:r>
          <m:t>m</m:t>
        </m:r>
        <m:r>
          <m:t>=</m:t>
        </m:r>
        <m:r>
          <m:t>1</m:t>
        </m:r>
      </m:oMath>
      <w:r>
        <w:t xml:space="preserve">. Let now</w:t>
      </w:r>
      <w:r>
        <w:t xml:space="preserve"> </w:t>
      </w:r>
      <m:oMath>
        <m:r>
          <m:t>1</m:t>
        </m:r>
        <m:r>
          <m:t>&lt;</m:t>
        </m:r>
        <m:r>
          <m:t>m</m:t>
        </m:r>
        <m:r>
          <m:t>≤</m:t>
        </m:r>
        <m:r>
          <m:t>M</m:t>
        </m:r>
      </m:oMath>
      <w:r>
        <w:t xml:space="preserve"> </w:t>
      </w:r>
      <w:r>
        <w:t xml:space="preserve">be fixed, and assume</w:t>
      </w:r>
      <w:r>
        <w:t xml:space="preserve"> </w:t>
      </w:r>
      <m:oMath>
        <m:sSub>
          <m:e>
            <m:r>
              <m:t>τ</m:t>
            </m:r>
          </m:e>
          <m:sub>
            <m:r>
              <m:t>m</m:t>
            </m:r>
            <m:r>
              <m:t>−</m:t>
            </m:r>
            <m:r>
              <m:t>1</m:t>
            </m:r>
          </m:sub>
        </m:sSub>
        <m:r>
          <m:t>(</m:t>
        </m:r>
        <m:r>
          <m:t>t</m:t>
        </m:r>
        <m:r>
          <m:t>,</m:t>
        </m:r>
        <m:sSub>
          <m:e>
            <m:r>
              <m:rPr>
                <m:sty m:val="b"/>
              </m:rPr>
              <m:t>v</m:t>
            </m:r>
          </m:e>
          <m:sub>
            <m:r>
              <m:t>j</m:t>
            </m:r>
          </m:sub>
        </m:sSub>
        <m:r>
          <m:t>)</m:t>
        </m:r>
        <m:r>
          <m:t>&gt;</m:t>
        </m:r>
        <m:r>
          <m:t>0</m:t>
        </m:r>
      </m:oMath>
      <w:r>
        <w:t xml:space="preserve"> </w:t>
      </w:r>
      <w:r>
        <w:t xml:space="preserve">for all</w:t>
      </w:r>
      <w:r>
        <w:t xml:space="preserve"> </w:t>
      </w:r>
      <m:oMath>
        <m:sSub>
          <m:e>
            <m:r>
              <m:rPr>
                <m:sty m:val="b"/>
              </m:rPr>
              <m:t>v</m:t>
            </m:r>
          </m:e>
          <m:sub>
            <m:r>
              <m:t>j</m:t>
            </m:r>
          </m:sub>
        </m:sSub>
        <m:r>
          <m:t>∈</m:t>
        </m:r>
        <m:r>
          <m:t>V</m:t>
        </m:r>
        <m:r>
          <m:t>(</m:t>
        </m:r>
        <m:r>
          <m:t>Γ</m:t>
        </m:r>
        <m:r>
          <m:t>)</m:t>
        </m:r>
      </m:oMath>
      <w:r>
        <w:t xml:space="preserve"> </w:t>
      </w:r>
      <w:r>
        <w:t xml:space="preserve">and for</w:t>
      </w:r>
      <w:r>
        <w:t xml:space="preserve"> </w:t>
      </w:r>
      <m:oMath>
        <m:sSub>
          <m:e>
            <m:r>
              <m:t>t</m:t>
            </m:r>
          </m:e>
          <m:sub>
            <m:r>
              <m:t>m</m:t>
            </m:r>
            <m:r>
              <m:t>i</m:t>
            </m:r>
            <m:r>
              <m:t>n</m:t>
            </m:r>
          </m:sub>
        </m:sSub>
        <m:r>
          <m:t>&lt;</m:t>
        </m:r>
        <m:r>
          <m:t>t</m:t>
        </m:r>
        <m:r>
          <m:t>&lt;</m:t>
        </m:r>
        <m:sSub>
          <m:e>
            <m:r>
              <m:t>t</m:t>
            </m:r>
          </m:e>
          <m:sub>
            <m:r>
              <m:t>m</m:t>
            </m:r>
            <m:r>
              <m:t>a</m:t>
            </m:r>
            <m:r>
              <m:t>x</m:t>
            </m:r>
          </m:sub>
        </m:sSub>
      </m:oMath>
      <w:r>
        <w:t xml:space="preserve">.</w:t>
      </w:r>
      <w:r>
        <w:t xml:space="preserve"> </w:t>
      </w:r>
      <w:r>
        <w:t xml:space="preserve">We want to show that the same assertion holds for</w:t>
      </w:r>
      <w:r>
        <w:t xml:space="preserve"> </w:t>
      </w:r>
      <m:oMath>
        <m:sSub>
          <m:e>
            <m:r>
              <m:t>τ</m:t>
            </m:r>
          </m:e>
          <m:sub>
            <m:r>
              <m:t>m</m:t>
            </m:r>
          </m:sub>
        </m:sSub>
        <m:r>
          <m:t>(</m:t>
        </m:r>
        <m:r>
          <m:t>⋅</m:t>
        </m:r>
        <m:r>
          <m:t>,</m:t>
        </m:r>
        <m:r>
          <m:t>t</m:t>
        </m:r>
        <m:r>
          <m:t>)</m:t>
        </m:r>
      </m:oMath>
      <w:r>
        <w:t xml:space="preserve">. To this end, assume by contradiction there exists a vertex</w:t>
      </w:r>
      <w:r>
        <w:t xml:space="preserve"> </w:t>
      </w:r>
      <m:oMath>
        <m:sSub>
          <m:e>
            <m:r>
              <m:rPr>
                <m:sty m:val="b"/>
              </m:rPr>
              <m:t>v</m:t>
            </m:r>
          </m:e>
          <m:sub>
            <m:r>
              <m:t>i</m:t>
            </m:r>
          </m:sub>
        </m:sSub>
        <m:r>
          <m:t>∈</m:t>
        </m:r>
        <m:r>
          <m:t>V</m:t>
        </m:r>
        <m:r>
          <m:t>(</m:t>
        </m:r>
        <m:r>
          <m:t>Γ</m:t>
        </m:r>
        <m:r>
          <m:t>)</m:t>
        </m:r>
      </m:oMath>
      <w:r>
        <w:t xml:space="preserve"> </w:t>
      </w:r>
      <w:r>
        <w:t xml:space="preserve">and a time</w:t>
      </w:r>
      <w:r>
        <w:t xml:space="preserve"> </w:t>
      </w:r>
      <m:oMath>
        <m:r>
          <m:t>t</m:t>
        </m:r>
        <m:r>
          <m:t>&lt;</m:t>
        </m:r>
        <m:sSub>
          <m:e>
            <m:r>
              <m:t>t</m:t>
            </m:r>
          </m:e>
          <m:sub>
            <m:r>
              <m:t>m</m:t>
            </m:r>
            <m:r>
              <m:t>a</m:t>
            </m:r>
            <m:r>
              <m:t>x</m:t>
            </m:r>
          </m:sub>
        </m:sSub>
      </m:oMath>
      <w:r>
        <w:t xml:space="preserve"> </w:t>
      </w:r>
      <w:r>
        <w:t xml:space="preserve">such that</w:t>
      </w:r>
      <w:r>
        <w:t xml:space="preserve"> </w:t>
      </w:r>
      <m:oMath>
        <m:sSub>
          <m:e>
            <m:r>
              <m:t>τ</m:t>
            </m:r>
          </m:e>
          <m:sub>
            <m:r>
              <m:t>m</m:t>
            </m:r>
          </m:sub>
        </m:sSub>
        <m:r>
          <m:t>(</m:t>
        </m:r>
        <m:sSub>
          <m:e>
            <m:r>
              <m:rPr>
                <m:sty m:val="b"/>
              </m:rPr>
              <m:t>v</m:t>
            </m:r>
          </m:e>
          <m:sub>
            <m:r>
              <m:t>i</m:t>
            </m:r>
          </m:sub>
        </m:sSub>
        <m:r>
          <m:t>,</m:t>
        </m:r>
        <m:r>
          <m:t>t</m:t>
        </m:r>
        <m:r>
          <m:t>)</m:t>
        </m:r>
        <m:r>
          <m:t>≤</m:t>
        </m:r>
        <m:r>
          <m:t>0</m:t>
        </m:r>
      </m:oMath>
      <w:r>
        <w:t xml:space="preserve">. As above, we can put</w:t>
      </w:r>
    </w:p>
    <w:p>
      <w:pPr>
        <w:pStyle w:val="BodyText"/>
      </w:pPr>
      <m:oMathPara>
        <m:oMathParaPr>
          <m:jc m:val="center"/>
        </m:oMathParaPr>
        <m:oMath>
          <m:sSup>
            <m:e>
              <m:r>
                <m:t>t</m:t>
              </m:r>
            </m:e>
            <m:sup>
              <m:r>
                <m:t>*</m:t>
              </m:r>
            </m:sup>
          </m:sSup>
          <m:r>
            <m:t>=</m:t>
          </m:r>
          <m:r>
            <m:rPr>
              <m:sty m:val="p"/>
            </m:rPr>
            <m:t>sup</m:t>
          </m:r>
          <m:r>
            <m:t>{</m:t>
          </m:r>
          <m:r>
            <m:t>t</m:t>
          </m:r>
          <m:r>
            <m:t>∈</m:t>
          </m:r>
          <m:r>
            <m:t>(</m:t>
          </m:r>
          <m:sSub>
            <m:e>
              <m:r>
                <m:t>t</m:t>
              </m:r>
            </m:e>
            <m:sub>
              <m:r>
                <m:t>0</m:t>
              </m:r>
            </m:sub>
          </m:sSub>
          <m:r>
            <m:t>,</m:t>
          </m:r>
          <m:sSub>
            <m:e>
              <m:r>
                <m:t>t</m:t>
              </m:r>
            </m:e>
            <m:sub>
              <m:r>
                <m:t>m</m:t>
              </m:r>
              <m:r>
                <m:t>a</m:t>
              </m:r>
              <m:r>
                <m:t>x</m:t>
              </m:r>
            </m:sub>
          </m:sSub>
          <m:r>
            <m:t>)</m:t>
          </m:r>
          <m:r>
            <m:t>,</m:t>
          </m:r>
          <m:sSub>
            <m:e>
              <m:r>
                <m:t>τ</m:t>
              </m:r>
            </m:e>
            <m:sub>
              <m:r>
                <m:t>m</m:t>
              </m:r>
            </m:sub>
          </m:sSub>
          <m:r>
            <m:t>(</m:t>
          </m:r>
          <m:sSub>
            <m:e>
              <m:r>
                <m:rPr>
                  <m:sty m:val="b"/>
                </m:rPr>
                <m:t>v</m:t>
              </m:r>
            </m:e>
            <m:sub>
              <m:r>
                <m:t>j</m:t>
              </m:r>
            </m:sub>
          </m:sSub>
          <m:r>
            <m:t>,</m:t>
          </m:r>
          <m:r>
            <m:t>t</m:t>
          </m:r>
          <m:r>
            <m:t>)</m:t>
          </m:r>
          <m:r>
            <m:t>&gt;</m:t>
          </m:r>
          <m:r>
            <m:t>0</m:t>
          </m:r>
          <m:r>
            <m:t> </m:t>
          </m:r>
          <m:r>
            <m:t>∀</m:t>
          </m:r>
          <m:r>
            <m:t> </m:t>
          </m:r>
          <m:sSub>
            <m:e>
              <m:r>
                <m:rPr>
                  <m:sty m:val="b"/>
                </m:rPr>
                <m:t>v</m:t>
              </m:r>
            </m:e>
            <m:sub>
              <m:r>
                <m:t>j</m:t>
              </m:r>
            </m:sub>
          </m:sSub>
          <m:r>
            <m:t>∈</m:t>
          </m:r>
          <m:r>
            <m:t>V</m:t>
          </m:r>
          <m:r>
            <m:t>(</m:t>
          </m:r>
          <m:r>
            <m:t>Γ</m:t>
          </m:r>
          <m:r>
            <m:t>)</m:t>
          </m:r>
          <m:r>
            <m:t>}</m:t>
          </m:r>
          <m:r>
            <m:t>&lt;</m:t>
          </m:r>
          <m:sSub>
            <m:e>
              <m:r>
                <m:t>t</m:t>
              </m:r>
            </m:e>
            <m:sub>
              <m:r>
                <m:t>m</m:t>
              </m:r>
              <m:r>
                <m:t>a</m:t>
              </m:r>
              <m:r>
                <m:t>x</m:t>
              </m:r>
            </m:sub>
          </m:sSub>
          <m:r>
            <m:t>.</m:t>
          </m:r>
        </m:oMath>
      </m:oMathPara>
    </w:p>
    <w:p>
      <w:pPr>
        <w:pStyle w:val="FirstParagraph"/>
      </w:pPr>
      <w:r>
        <w:t xml:space="preserve">Again as above, it must exist a vertex</w:t>
      </w:r>
      <w:r>
        <w:t xml:space="preserve"> </w:t>
      </w:r>
      <m:oMath>
        <m:sSub>
          <m:e>
            <m:bar>
              <m:barPr>
                <m:pos m:val="top"/>
              </m:barPr>
              <m:e>
                <m:r>
                  <m:rPr>
                    <m:sty m:val="b"/>
                  </m:rPr>
                  <m:t>v</m:t>
                </m:r>
              </m:e>
            </m:bar>
          </m:e>
          <m:sub>
            <m:r>
              <m:t>j</m:t>
            </m:r>
          </m:sub>
        </m:sSub>
      </m:oMath>
      <w:r>
        <w:t xml:space="preserve"> </w:t>
      </w:r>
      <w:r>
        <w:t xml:space="preserve">such that</w:t>
      </w:r>
      <w:r>
        <w:t xml:space="preserve"> </w:t>
      </w:r>
      <m:oMath>
        <m:sSub>
          <m:e>
            <m:r>
              <m:t>τ</m:t>
            </m:r>
          </m:e>
          <m:sub>
            <m:r>
              <m:t>m</m:t>
            </m:r>
          </m:sub>
        </m:sSub>
        <m:r>
          <m:t>(</m:t>
        </m:r>
        <m:sSub>
          <m:e>
            <m:bar>
              <m:barPr>
                <m:pos m:val="top"/>
              </m:barPr>
              <m:e>
                <m:r>
                  <m:rPr>
                    <m:sty m:val="b"/>
                  </m:rPr>
                  <m:t>v</m:t>
                </m:r>
              </m:e>
            </m:bar>
          </m:e>
          <m:sub>
            <m:r>
              <m:t>j</m:t>
            </m:r>
          </m:sub>
        </m:sSub>
        <m:r>
          <m:t>,</m:t>
        </m:r>
        <m:sSup>
          <m:e>
            <m:r>
              <m:t>t</m:t>
            </m:r>
          </m:e>
          <m:sup>
            <m:r>
              <m:t>*</m:t>
            </m:r>
          </m:sup>
        </m:sSup>
        <m:r>
          <m:t>)</m:t>
        </m:r>
        <m:r>
          <m:t>=</m:t>
        </m:r>
        <m:r>
          <m:t>0</m:t>
        </m:r>
      </m:oMath>
      <w:r>
        <w:t xml:space="preserve"> </w:t>
      </w:r>
      <w:r>
        <w:t xml:space="preserve">and</w:t>
      </w:r>
      <w:r>
        <w:t xml:space="preserve"> </w:t>
      </w:r>
      <m:oMath>
        <m:f>
          <m:fPr>
            <m:type m:val="bar"/>
          </m:fPr>
          <m:num>
            <m:r>
              <m:t>∂</m:t>
            </m:r>
            <m:sSub>
              <m:e>
                <m:r>
                  <m:t>τ</m:t>
                </m:r>
              </m:e>
              <m:sub>
                <m:r>
                  <m:t>m</m:t>
                </m:r>
              </m:sub>
            </m:sSub>
          </m:num>
          <m:den>
            <m:r>
              <m:t>∂</m:t>
            </m:r>
            <m:r>
              <m:t>t</m:t>
            </m:r>
          </m:den>
        </m:f>
        <m:r>
          <m:t>(</m:t>
        </m:r>
        <m:sSub>
          <m:e>
            <m:bar>
              <m:barPr>
                <m:pos m:val="top"/>
              </m:barPr>
              <m:e>
                <m:r>
                  <m:rPr>
                    <m:sty m:val="b"/>
                  </m:rPr>
                  <m:t>v</m:t>
                </m:r>
              </m:e>
            </m:bar>
          </m:e>
          <m:sub>
            <m:r>
              <m:t>j</m:t>
            </m:r>
          </m:sub>
        </m:sSub>
        <m:r>
          <m:t>,</m:t>
        </m:r>
        <m:sSup>
          <m:e>
            <m:r>
              <m:t>t</m:t>
            </m:r>
          </m:e>
          <m:sup>
            <m:r>
              <m:t>*</m:t>
            </m:r>
          </m:sup>
        </m:sSup>
        <m:r>
          <m:t>)</m:t>
        </m:r>
        <m:r>
          <m:t>≤</m:t>
        </m:r>
        <m:r>
          <m:t>0</m:t>
        </m:r>
      </m:oMath>
      <w:r>
        <w:t xml:space="preserve">. Writing equation at</w:t>
      </w:r>
      <w:r>
        <w:t xml:space="preserve"> </w:t>
      </w:r>
      <m:oMath>
        <m:r>
          <m:t>t</m:t>
        </m:r>
        <m:r>
          <m:t>=</m:t>
        </m:r>
        <m:sSup>
          <m:e>
            <m:r>
              <m:t>t</m:t>
            </m:r>
          </m:e>
          <m:sup>
            <m:r>
              <m:t>*</m:t>
            </m:r>
          </m:sup>
        </m:sSup>
      </m:oMath>
      <w:r>
        <w:t xml:space="preserve">,</w:t>
      </w:r>
      <w:r>
        <w:t xml:space="preserve"> </w:t>
      </w:r>
      <m:oMath>
        <m:sSub>
          <m:e>
            <m:r>
              <m:rPr>
                <m:sty m:val="b"/>
              </m:rPr>
              <m:t>v</m:t>
            </m:r>
          </m:e>
          <m:sub>
            <m:r>
              <m:t>j</m:t>
            </m:r>
          </m:sub>
        </m:sSub>
        <m:r>
          <m:t>=</m:t>
        </m:r>
        <m:bar>
          <m:barPr>
            <m:pos m:val="top"/>
          </m:barPr>
          <m:e>
            <m:sSub>
              <m:e>
                <m:r>
                  <m:rPr>
                    <m:sty m:val="b"/>
                  </m:rPr>
                  <m:t>v</m:t>
                </m:r>
              </m:e>
              <m:sub>
                <m:r>
                  <m:t>j</m:t>
                </m:r>
              </m:sub>
            </m:sSub>
          </m:e>
        </m:bar>
      </m:oMath>
      <w:r>
        <w:t xml:space="preserve">, we have</w:t>
      </w:r>
    </w:p>
    <w:p>
      <w:pPr>
        <w:pStyle w:val="BodyText"/>
      </w:pPr>
      <m:oMathPara>
        <m:oMathParaPr>
          <m:jc m:val="center"/>
        </m:oMathParaPr>
        <m:oMath>
          <m:r>
            <m:t>0</m:t>
          </m:r>
          <m:r>
            <m:t>≥</m:t>
          </m:r>
          <m:f>
            <m:fPr>
              <m:type m:val="bar"/>
            </m:fPr>
            <m:num>
              <m:r>
                <m:t>∂</m:t>
              </m:r>
              <m:sSub>
                <m:e>
                  <m:r>
                    <m:t>τ</m:t>
                  </m:r>
                </m:e>
                <m:sub>
                  <m:r>
                    <m:t>m</m:t>
                  </m:r>
                </m:sub>
              </m:sSub>
            </m:num>
            <m:den>
              <m:r>
                <m:t>∂</m:t>
              </m:r>
              <m:r>
                <m:t>t</m:t>
              </m:r>
            </m:den>
          </m:f>
          <m:r>
            <m:t>(</m:t>
          </m:r>
          <m:sSub>
            <m:e>
              <m:bar>
                <m:barPr>
                  <m:pos m:val="top"/>
                </m:barPr>
                <m:e>
                  <m:r>
                    <m:rPr>
                      <m:sty m:val="b"/>
                    </m:rPr>
                    <m:t>v</m:t>
                  </m:r>
                </m:e>
              </m:bar>
            </m:e>
            <m:sub>
              <m:r>
                <m:t>j</m:t>
              </m:r>
            </m:sub>
          </m:sSub>
          <m:r>
            <m:t>,</m:t>
          </m:r>
          <m:sSup>
            <m:e>
              <m:r>
                <m:t>t</m:t>
              </m:r>
            </m:e>
            <m:sup>
              <m:r>
                <m:t>*</m:t>
              </m:r>
            </m:sup>
          </m:sSup>
          <m:r>
            <m:t>)</m:t>
          </m:r>
          <m:r>
            <m:t>=</m:t>
          </m:r>
        </m:oMath>
      </m:oMathPara>
    </w:p>
    <w:p>
      <w:pPr>
        <w:pStyle w:val="FirstParagraph"/>
      </w:pPr>
      <m:oMathPara>
        <m:oMathParaPr>
          <m:jc m:val="center"/>
        </m:oMathParaPr>
        <m:oMath>
          <m:sSub>
            <m:e>
              <m:r>
                <m:t>d</m:t>
              </m:r>
            </m:e>
            <m:sub>
              <m:r>
                <m:t>m</m:t>
              </m:r>
            </m:sub>
          </m:sSub>
          <m:nary>
            <m:naryPr>
              <m:chr m:val="∑"/>
              <m:limLoc m:val="undOvr"/>
              <m:subHide m:val="0"/>
              <m:supHide m:val="1"/>
            </m:naryPr>
            <m:sub>
              <m:sSub>
                <m:e>
                  <m:r>
                    <m:rPr>
                      <m:sty m:val="b"/>
                    </m:rPr>
                    <m:t>v</m:t>
                  </m:r>
                </m:e>
                <m:sub>
                  <m:r>
                    <m:t>i</m:t>
                  </m:r>
                </m:sub>
              </m:sSub>
              <m:r>
                <m:t>∼</m:t>
              </m:r>
              <m:sSub>
                <m:e>
                  <m:bar>
                    <m:barPr>
                      <m:pos m:val="top"/>
                    </m:barPr>
                    <m:e>
                      <m:r>
                        <m:rPr>
                          <m:sty m:val="b"/>
                        </m:rPr>
                        <m:t>v</m:t>
                      </m:r>
                    </m:e>
                  </m:bar>
                </m:e>
                <m:sub>
                  <m:r>
                    <m:t>j</m:t>
                  </m:r>
                </m:sub>
              </m:sSub>
            </m:sub>
            <m:sup/>
            <m:e>
              <m:r>
                <m:t>(</m:t>
              </m:r>
            </m:e>
          </m:nary>
          <m:sSub>
            <m:e>
              <m:r>
                <m:t>τ</m:t>
              </m:r>
            </m:e>
            <m:sub>
              <m:r>
                <m:t>m</m:t>
              </m:r>
            </m:sub>
          </m:sSub>
          <m:r>
            <m:t>(</m:t>
          </m:r>
          <m:sSub>
            <m:e>
              <m:r>
                <m:rPr>
                  <m:sty m:val="b"/>
                </m:rPr>
                <m:t>v</m:t>
              </m:r>
            </m:e>
            <m:sub>
              <m:r>
                <m:t>i</m:t>
              </m:r>
            </m:sub>
          </m:sSub>
          <m:r>
            <m:t>,</m:t>
          </m:r>
          <m:sSup>
            <m:e>
              <m:r>
                <m:t>t</m:t>
              </m:r>
            </m:e>
            <m:sup>
              <m:r>
                <m:t>*</m:t>
              </m:r>
            </m:sup>
          </m:sSup>
          <m:r>
            <m:t>)</m:t>
          </m:r>
          <m:r>
            <m:t>−</m:t>
          </m:r>
          <m:sSub>
            <m:e>
              <m:r>
                <m:t>τ</m:t>
              </m:r>
            </m:e>
            <m:sub>
              <m:r>
                <m:t>m</m:t>
              </m:r>
            </m:sub>
          </m:sSub>
          <m:r>
            <m:t>(</m:t>
          </m:r>
          <m:bar>
            <m:barPr>
              <m:pos m:val="top"/>
            </m:barPr>
            <m:e>
              <m:sSub>
                <m:e>
                  <m:r>
                    <m:rPr>
                      <m:sty m:val="b"/>
                    </m:rPr>
                    <m:t>v</m:t>
                  </m:r>
                </m:e>
                <m:sub>
                  <m:r>
                    <m:t>j</m:t>
                  </m:r>
                </m:sub>
              </m:sSub>
            </m:e>
          </m:bar>
          <m:r>
            <m:t>,</m:t>
          </m:r>
          <m:sSup>
            <m:e>
              <m:r>
                <m:t>t</m:t>
              </m:r>
            </m:e>
            <m:sup>
              <m:r>
                <m:t>*</m:t>
              </m:r>
            </m:sup>
          </m:sSup>
          <m:r>
            <m:t>)</m:t>
          </m:r>
          <m:r>
            <m:t>)</m:t>
          </m:r>
          <m:sSub>
            <m:e>
              <m:r>
                <m:t>c</m:t>
              </m:r>
            </m:e>
            <m:sub>
              <m:r>
                <m:t>i</m:t>
              </m:r>
              <m:r>
                <m:t>j</m:t>
              </m:r>
            </m:sub>
          </m:sSub>
          <m:r>
            <m:t>−</m:t>
          </m:r>
          <m:sSub>
            <m:e>
              <m:r>
                <m:t>τ</m:t>
              </m:r>
            </m:e>
            <m:sub>
              <m:r>
                <m:t>m</m:t>
              </m:r>
            </m:sub>
          </m:sSub>
          <m:r>
            <m:t>(</m:t>
          </m:r>
          <m:sSub>
            <m:e>
              <m:bar>
                <m:barPr>
                  <m:pos m:val="top"/>
                </m:barPr>
                <m:e>
                  <m:r>
                    <m:rPr>
                      <m:sty m:val="b"/>
                    </m:rPr>
                    <m:t>v</m:t>
                  </m:r>
                </m:e>
              </m:bar>
            </m:e>
            <m:sub>
              <m:r>
                <m:t>j</m:t>
              </m:r>
            </m:sub>
          </m:sSub>
          <m:r>
            <m:t>,</m:t>
          </m:r>
          <m:sSup>
            <m:e>
              <m:r>
                <m:t>t</m:t>
              </m:r>
            </m:e>
            <m:sup>
              <m:r>
                <m:t>*</m:t>
              </m:r>
            </m:sup>
          </m:sSup>
          <m:r>
            <m:t>)</m:t>
          </m:r>
          <m:nary>
            <m:naryPr>
              <m:chr m:val="∑"/>
              <m:limLoc m:val="undOvr"/>
              <m:subHide m:val="0"/>
              <m:supHide m:val="0"/>
            </m:naryPr>
            <m:sub>
              <m:r>
                <m:t>j</m:t>
              </m:r>
              <m:r>
                <m:t>=</m:t>
              </m:r>
              <m:r>
                <m:t>1</m:t>
              </m:r>
            </m:sub>
            <m:sup>
              <m:r>
                <m:t>M</m:t>
              </m:r>
            </m:sup>
            <m:e>
              <m:sSub>
                <m:e>
                  <m:r>
                    <m:t>a</m:t>
                  </m:r>
                </m:e>
                <m:sub>
                  <m:r>
                    <m:t>1</m:t>
                  </m:r>
                  <m:r>
                    <m:t>,</m:t>
                  </m:r>
                  <m:r>
                    <m:t>j</m:t>
                  </m:r>
                </m:sub>
              </m:sSub>
            </m:e>
          </m:nary>
          <m:sSub>
            <m:e>
              <m:r>
                <m:t>τ</m:t>
              </m:r>
            </m:e>
            <m:sub>
              <m:r>
                <m:t>j</m:t>
              </m:r>
            </m:sub>
          </m:sSub>
          <m:r>
            <m:t>(</m:t>
          </m:r>
          <m:sSub>
            <m:e>
              <m:bar>
                <m:barPr>
                  <m:pos m:val="top"/>
                </m:barPr>
                <m:e>
                  <m:r>
                    <m:rPr>
                      <m:sty m:val="b"/>
                    </m:rPr>
                    <m:t>v</m:t>
                  </m:r>
                </m:e>
              </m:bar>
            </m:e>
            <m:sub>
              <m:r>
                <m:t>j</m:t>
              </m:r>
            </m:sub>
          </m:sSub>
          <m:r>
            <m:t>,</m:t>
          </m:r>
          <m:sSup>
            <m:e>
              <m:r>
                <m:t>t</m:t>
              </m:r>
            </m:e>
            <m:sup>
              <m:r>
                <m:t>*</m:t>
              </m:r>
            </m:sup>
          </m:sSup>
          <m:r>
            <m:t>)</m:t>
          </m:r>
          <m:r>
            <m:t>+</m:t>
          </m:r>
          <m:f>
            <m:fPr>
              <m:type m:val="bar"/>
            </m:fPr>
            <m:num>
              <m:r>
                <m:t>1</m:t>
              </m:r>
            </m:num>
            <m:den>
              <m:r>
                <m:t>2</m:t>
              </m:r>
            </m:den>
          </m:f>
          <m:nary>
            <m:naryPr>
              <m:chr m:val="∑"/>
              <m:limLoc m:val="undOvr"/>
              <m:subHide m:val="0"/>
              <m:supHide m:val="0"/>
            </m:naryPr>
            <m:sub>
              <m:r>
                <m:t>j</m:t>
              </m:r>
              <m:r>
                <m:t>=</m:t>
              </m:r>
              <m:r>
                <m:t>1</m:t>
              </m:r>
            </m:sub>
            <m:sup>
              <m:r>
                <m:t>m</m:t>
              </m:r>
              <m:r>
                <m:t>−</m:t>
              </m:r>
              <m:r>
                <m:t>1</m:t>
              </m:r>
            </m:sup>
            <m:e>
              <m:sSub>
                <m:e>
                  <m:r>
                    <m:t>a</m:t>
                  </m:r>
                </m:e>
                <m:sub>
                  <m:r>
                    <m:t>j</m:t>
                  </m:r>
                  <m:r>
                    <m:t>,</m:t>
                  </m:r>
                  <m:r>
                    <m:t>m</m:t>
                  </m:r>
                  <m:r>
                    <m:t>−</m:t>
                  </m:r>
                  <m:r>
                    <m:t>j</m:t>
                  </m:r>
                </m:sub>
              </m:sSub>
            </m:e>
          </m:nary>
          <m:sSub>
            <m:e>
              <m:r>
                <m:t>τ</m:t>
              </m:r>
            </m:e>
            <m:sub>
              <m:r>
                <m:t>j</m:t>
              </m:r>
            </m:sub>
          </m:sSub>
          <m:r>
            <m:t>(</m:t>
          </m:r>
          <m:sSub>
            <m:e>
              <m:bar>
                <m:barPr>
                  <m:pos m:val="top"/>
                </m:barPr>
                <m:e>
                  <m:r>
                    <m:rPr>
                      <m:sty m:val="b"/>
                    </m:rPr>
                    <m:t>v</m:t>
                  </m:r>
                </m:e>
              </m:bar>
            </m:e>
            <m:sub>
              <m:r>
                <m:t>j</m:t>
              </m:r>
            </m:sub>
          </m:sSub>
          <m:r>
            <m:t>,</m:t>
          </m:r>
          <m:sSup>
            <m:e>
              <m:r>
                <m:t>t</m:t>
              </m:r>
            </m:e>
            <m:sup>
              <m:r>
                <m:t>*</m:t>
              </m:r>
            </m:sup>
          </m:sSup>
          <m:r>
            <m:t>)</m:t>
          </m:r>
          <m:sSub>
            <m:e>
              <m:r>
                <m:t>τ</m:t>
              </m:r>
            </m:e>
            <m:sub>
              <m:r>
                <m:t>m</m:t>
              </m:r>
              <m:r>
                <m:t>−</m:t>
              </m:r>
              <m:r>
                <m:t>j</m:t>
              </m:r>
            </m:sub>
          </m:sSub>
          <m:r>
            <m:t>(</m:t>
          </m:r>
          <m:sSub>
            <m:e>
              <m:bar>
                <m:barPr>
                  <m:pos m:val="top"/>
                </m:barPr>
                <m:e>
                  <m:r>
                    <m:rPr>
                      <m:sty m:val="b"/>
                    </m:rPr>
                    <m:t>v</m:t>
                  </m:r>
                </m:e>
              </m:bar>
            </m:e>
            <m:sub>
              <m:r>
                <m:t>j</m:t>
              </m:r>
            </m:sub>
          </m:sSub>
          <m:r>
            <m:t>,</m:t>
          </m:r>
          <m:sSup>
            <m:e>
              <m:r>
                <m:t>t</m:t>
              </m:r>
            </m:e>
            <m:sup>
              <m:r>
                <m:t>*</m:t>
              </m:r>
            </m:sup>
          </m:sSup>
          <m:r>
            <m:t>)</m:t>
          </m:r>
        </m:oMath>
      </m:oMathPara>
    </w:p>
    <w:p>
      <w:pPr>
        <w:pStyle w:val="FirstParagraph"/>
      </w:pPr>
      <w:r>
        <w:t xml:space="preserve">and hence</w:t>
      </w:r>
    </w:p>
    <w:p>
      <w:pPr>
        <w:pStyle w:val="BodyText"/>
      </w:pPr>
      <m:oMathPara>
        <m:oMathParaPr>
          <m:jc m:val="center"/>
        </m:oMathParaPr>
        <m:oMath>
          <m:r>
            <m:t>−</m:t>
          </m:r>
          <m:sSub>
            <m:e>
              <m:r>
                <m:t>d</m:t>
              </m:r>
            </m:e>
            <m:sub>
              <m:r>
                <m:t>m</m:t>
              </m:r>
            </m:sub>
          </m:sSub>
          <m:nary>
            <m:naryPr>
              <m:chr m:val="∑"/>
              <m:limLoc m:val="undOvr"/>
              <m:subHide m:val="0"/>
              <m:supHide m:val="1"/>
            </m:naryPr>
            <m:sub>
              <m:sSub>
                <m:e>
                  <m:r>
                    <m:rPr>
                      <m:sty m:val="b"/>
                    </m:rPr>
                    <m:t>v</m:t>
                  </m:r>
                </m:e>
                <m:sub>
                  <m:r>
                    <m:t>i</m:t>
                  </m:r>
                </m:sub>
              </m:sSub>
              <m:r>
                <m:t>∼</m:t>
              </m:r>
              <m:sSub>
                <m:e>
                  <m:bar>
                    <m:barPr>
                      <m:pos m:val="top"/>
                    </m:barPr>
                    <m:e>
                      <m:r>
                        <m:rPr>
                          <m:sty m:val="b"/>
                        </m:rPr>
                        <m:t>v</m:t>
                      </m:r>
                    </m:e>
                  </m:bar>
                </m:e>
                <m:sub>
                  <m:r>
                    <m:t>j</m:t>
                  </m:r>
                </m:sub>
              </m:sSub>
            </m:sub>
            <m:sup/>
            <m:e>
              <m:sSub>
                <m:e>
                  <m:r>
                    <m:t>τ</m:t>
                  </m:r>
                </m:e>
                <m:sub>
                  <m:r>
                    <m:t>m</m:t>
                  </m:r>
                </m:sub>
              </m:sSub>
            </m:e>
          </m:nary>
          <m:r>
            <m:t>(</m:t>
          </m:r>
          <m:sSub>
            <m:e>
              <m:r>
                <m:rPr>
                  <m:sty m:val="b"/>
                </m:rPr>
                <m:t>v</m:t>
              </m:r>
            </m:e>
            <m:sub>
              <m:r>
                <m:t>i</m:t>
              </m:r>
            </m:sub>
          </m:sSub>
          <m:r>
            <m:t>,</m:t>
          </m:r>
          <m:sSup>
            <m:e>
              <m:r>
                <m:t>t</m:t>
              </m:r>
            </m:e>
            <m:sup>
              <m:r>
                <m:t>*</m:t>
              </m:r>
            </m:sup>
          </m:sSup>
          <m:r>
            <m:t>)</m:t>
          </m:r>
          <m:sSub>
            <m:e>
              <m:r>
                <m:t>c</m:t>
              </m:r>
            </m:e>
            <m:sub>
              <m:r>
                <m:t>i</m:t>
              </m:r>
              <m:r>
                <m:t>j</m:t>
              </m:r>
            </m:sub>
          </m:sSub>
          <m:r>
            <m:t>≥</m:t>
          </m:r>
          <m:f>
            <m:fPr>
              <m:type m:val="bar"/>
            </m:fPr>
            <m:num>
              <m:r>
                <m:t>1</m:t>
              </m:r>
            </m:num>
            <m:den>
              <m:r>
                <m:t>2</m:t>
              </m:r>
            </m:den>
          </m:f>
          <m:nary>
            <m:naryPr>
              <m:chr m:val="∑"/>
              <m:limLoc m:val="undOvr"/>
              <m:subHide m:val="0"/>
              <m:supHide m:val="0"/>
            </m:naryPr>
            <m:sub>
              <m:r>
                <m:t>j</m:t>
              </m:r>
              <m:r>
                <m:t>=</m:t>
              </m:r>
              <m:r>
                <m:t>1</m:t>
              </m:r>
            </m:sub>
            <m:sup>
              <m:r>
                <m:t>m</m:t>
              </m:r>
              <m:r>
                <m:t>−</m:t>
              </m:r>
              <m:r>
                <m:t>1</m:t>
              </m:r>
            </m:sup>
            <m:e>
              <m:sSub>
                <m:e>
                  <m:r>
                    <m:t>a</m:t>
                  </m:r>
                </m:e>
                <m:sub>
                  <m:r>
                    <m:t>j</m:t>
                  </m:r>
                  <m:r>
                    <m:t>,</m:t>
                  </m:r>
                  <m:r>
                    <m:t>m</m:t>
                  </m:r>
                  <m:r>
                    <m:t>−</m:t>
                  </m:r>
                  <m:r>
                    <m:t>j</m:t>
                  </m:r>
                </m:sub>
              </m:sSub>
            </m:e>
          </m:nary>
          <m:sSub>
            <m:e>
              <m:r>
                <m:t>τ</m:t>
              </m:r>
            </m:e>
            <m:sub>
              <m:r>
                <m:t>j</m:t>
              </m:r>
            </m:sub>
          </m:sSub>
          <m:r>
            <m:t>(</m:t>
          </m:r>
          <m:sSub>
            <m:e>
              <m:bar>
                <m:barPr>
                  <m:pos m:val="top"/>
                </m:barPr>
                <m:e>
                  <m:r>
                    <m:rPr>
                      <m:sty m:val="b"/>
                    </m:rPr>
                    <m:t>v</m:t>
                  </m:r>
                </m:e>
              </m:bar>
            </m:e>
            <m:sub>
              <m:r>
                <m:t>j</m:t>
              </m:r>
            </m:sub>
          </m:sSub>
          <m:r>
            <m:t>,</m:t>
          </m:r>
          <m:sSup>
            <m:e>
              <m:r>
                <m:t>t</m:t>
              </m:r>
            </m:e>
            <m:sup>
              <m:r>
                <m:t>*</m:t>
              </m:r>
            </m:sup>
          </m:sSup>
          <m:r>
            <m:t>)</m:t>
          </m:r>
          <m:sSub>
            <m:e>
              <m:r>
                <m:t>τ</m:t>
              </m:r>
            </m:e>
            <m:sub>
              <m:r>
                <m:t>m</m:t>
              </m:r>
              <m:r>
                <m:t>−</m:t>
              </m:r>
              <m:r>
                <m:t>j</m:t>
              </m:r>
            </m:sub>
          </m:sSub>
          <m:r>
            <m:t>(</m:t>
          </m:r>
          <m:sSub>
            <m:e>
              <m:bar>
                <m:barPr>
                  <m:pos m:val="top"/>
                </m:barPr>
                <m:e>
                  <m:r>
                    <m:rPr>
                      <m:sty m:val="b"/>
                    </m:rPr>
                    <m:t>v</m:t>
                  </m:r>
                </m:e>
              </m:bar>
            </m:e>
            <m:sub>
              <m:r>
                <m:t>j</m:t>
              </m:r>
            </m:sub>
          </m:sSub>
          <m:r>
            <m:t>,</m:t>
          </m:r>
          <m:sSup>
            <m:e>
              <m:r>
                <m:t>t</m:t>
              </m:r>
            </m:e>
            <m:sup>
              <m:r>
                <m:t>*</m:t>
              </m:r>
            </m:sup>
          </m:sSup>
          <m:r>
            <m:t>)</m:t>
          </m:r>
          <m:r>
            <m:t>&gt;</m:t>
          </m:r>
          <m:r>
            <m:t>0</m:t>
          </m:r>
        </m:oMath>
      </m:oMathPara>
    </w:p>
    <w:p>
      <w:pPr>
        <w:pStyle w:val="FirstParagraph"/>
      </w:pPr>
      <w:r>
        <w:t xml:space="preserve">where in the last inequality we use the inductive hypothesis; therefore:</w:t>
      </w:r>
    </w:p>
    <w:p>
      <w:pPr>
        <w:pStyle w:val="BodyText"/>
      </w:pPr>
      <m:oMathPara>
        <m:oMathParaPr>
          <m:jc m:val="center"/>
        </m:oMathParaPr>
        <m:oMath>
          <m:nary>
            <m:naryPr>
              <m:chr m:val="∑"/>
              <m:limLoc m:val="undOvr"/>
              <m:subHide m:val="0"/>
              <m:supHide m:val="1"/>
            </m:naryPr>
            <m:sub>
              <m:sSub>
                <m:e>
                  <m:r>
                    <m:rPr>
                      <m:sty m:val="b"/>
                    </m:rPr>
                    <m:t>v</m:t>
                  </m:r>
                </m:e>
                <m:sub>
                  <m:r>
                    <m:t>i</m:t>
                  </m:r>
                </m:sub>
              </m:sSub>
              <m:r>
                <m:t>∼</m:t>
              </m:r>
              <m:sSub>
                <m:e>
                  <m:bar>
                    <m:barPr>
                      <m:pos m:val="top"/>
                    </m:barPr>
                    <m:e>
                      <m:r>
                        <m:rPr>
                          <m:sty m:val="b"/>
                        </m:rPr>
                        <m:t>v</m:t>
                      </m:r>
                    </m:e>
                  </m:bar>
                </m:e>
                <m:sub>
                  <m:r>
                    <m:t>j</m:t>
                  </m:r>
                </m:sub>
              </m:sSub>
            </m:sub>
            <m:sup/>
            <m:e>
              <m:sSub>
                <m:e>
                  <m:r>
                    <m:t>τ</m:t>
                  </m:r>
                </m:e>
                <m:sub>
                  <m:r>
                    <m:t>m</m:t>
                  </m:r>
                </m:sub>
              </m:sSub>
            </m:e>
          </m:nary>
          <m:r>
            <m:t>(</m:t>
          </m:r>
          <m:sSub>
            <m:e>
              <m:r>
                <m:rPr>
                  <m:sty m:val="b"/>
                </m:rPr>
                <m:t>v</m:t>
              </m:r>
            </m:e>
            <m:sub>
              <m:r>
                <m:t>i</m:t>
              </m:r>
            </m:sub>
          </m:sSub>
          <m:r>
            <m:t>,</m:t>
          </m:r>
          <m:sSup>
            <m:e>
              <m:r>
                <m:t>t</m:t>
              </m:r>
            </m:e>
            <m:sup>
              <m:r>
                <m:t>*</m:t>
              </m:r>
            </m:sup>
          </m:sSup>
          <m:r>
            <m:t>)</m:t>
          </m:r>
          <m:sSub>
            <m:e>
              <m:r>
                <m:t>c</m:t>
              </m:r>
            </m:e>
            <m:sub>
              <m:r>
                <m:t>i</m:t>
              </m:r>
              <m:r>
                <m:t>j</m:t>
              </m:r>
            </m:sub>
          </m:sSub>
          <m:r>
            <m:t>&lt;</m:t>
          </m:r>
          <m:r>
            <m:t>0</m:t>
          </m:r>
        </m:oMath>
      </m:oMathPara>
    </w:p>
    <w:p>
      <w:pPr>
        <w:pStyle w:val="FirstParagraph"/>
      </w:pPr>
      <w:r>
        <w:t xml:space="preserve">As above, this means that there exists a vertex</w:t>
      </w:r>
      <w:r>
        <w:t xml:space="preserve"> </w:t>
      </w:r>
      <m:oMath>
        <m:bar>
          <m:barPr>
            <m:pos m:val="top"/>
          </m:barPr>
          <m:e>
            <m:sSub>
              <m:e>
                <m:r>
                  <m:rPr>
                    <m:sty m:val="b"/>
                  </m:rPr>
                  <m:t>v</m:t>
                </m:r>
              </m:e>
              <m:sub>
                <m:r>
                  <m:t>i</m:t>
                </m:r>
              </m:sub>
            </m:sSub>
          </m:e>
        </m:bar>
        <m:r>
          <m:t>∈</m:t>
        </m:r>
        <m:r>
          <m:t>V</m:t>
        </m:r>
        <m:r>
          <m:t>(</m:t>
        </m:r>
        <m:r>
          <m:t>Γ</m:t>
        </m:r>
        <m:r>
          <m:t>)</m:t>
        </m:r>
      </m:oMath>
      <w:r>
        <w:t xml:space="preserve"> </w:t>
      </w:r>
      <w:r>
        <w:t xml:space="preserve">such that</w:t>
      </w:r>
      <w:r>
        <w:t xml:space="preserve"> </w:t>
      </w:r>
      <m:oMath>
        <m:sSub>
          <m:e>
            <m:r>
              <m:t>τ</m:t>
            </m:r>
          </m:e>
          <m:sub>
            <m:r>
              <m:t>m</m:t>
            </m:r>
          </m:sub>
        </m:sSub>
        <m:r>
          <m:t>(</m:t>
        </m:r>
        <m:bar>
          <m:barPr>
            <m:pos m:val="top"/>
          </m:barPr>
          <m:e>
            <m:sSub>
              <m:e>
                <m:r>
                  <m:rPr>
                    <m:sty m:val="b"/>
                  </m:rPr>
                  <m:t>v</m:t>
                </m:r>
              </m:e>
              <m:sub>
                <m:r>
                  <m:t>i</m:t>
                </m:r>
              </m:sub>
            </m:sSub>
          </m:e>
        </m:bar>
        <m:r>
          <m:t>,</m:t>
        </m:r>
        <m:sSup>
          <m:e>
            <m:r>
              <m:t>t</m:t>
            </m:r>
          </m:e>
          <m:sup>
            <m:r>
              <m:t>*</m:t>
            </m:r>
          </m:sup>
        </m:sSup>
        <m:r>
          <m:t>)</m:t>
        </m:r>
        <m:r>
          <m:t>&lt;</m:t>
        </m:r>
        <m:r>
          <m:t>0</m:t>
        </m:r>
      </m:oMath>
      <w:r>
        <w:t xml:space="preserve"> </w:t>
      </w:r>
      <w:r>
        <w:t xml:space="preserve">and consequently</w:t>
      </w:r>
      <w:r>
        <w:t xml:space="preserve"> </w:t>
      </w:r>
      <m:oMath>
        <m:sSub>
          <m:e>
            <m:r>
              <m:t>τ</m:t>
            </m:r>
          </m:e>
          <m:sub>
            <m:r>
              <m:t>m</m:t>
            </m:r>
          </m:sub>
        </m:sSub>
        <m:r>
          <m:t>(</m:t>
        </m:r>
        <m:bar>
          <m:barPr>
            <m:pos m:val="top"/>
          </m:barPr>
          <m:e>
            <m:sSub>
              <m:e>
                <m:r>
                  <m:rPr>
                    <m:sty m:val="b"/>
                  </m:rPr>
                  <m:t>v</m:t>
                </m:r>
              </m:e>
              <m:sub>
                <m:r>
                  <m:t>i</m:t>
                </m:r>
              </m:sub>
            </m:sSub>
          </m:e>
        </m:bar>
        <m:r>
          <m:t>,</m:t>
        </m:r>
        <m:r>
          <m:t>t</m:t>
        </m:r>
        <m:r>
          <m:t>)</m:t>
        </m:r>
        <m:r>
          <m:t>&lt;</m:t>
        </m:r>
        <m:r>
          <m:t>0</m:t>
        </m:r>
      </m:oMath>
      <w:r>
        <w:t xml:space="preserve"> </w:t>
      </w:r>
      <w:r>
        <w:t xml:space="preserve">for</w:t>
      </w:r>
      <w:r>
        <w:t xml:space="preserve"> </w:t>
      </w:r>
      <m:oMath>
        <m:sSup>
          <m:e>
            <m:r>
              <m:t>t</m:t>
            </m:r>
          </m:e>
          <m:sup>
            <m:r>
              <m:t>*</m:t>
            </m:r>
          </m:sup>
        </m:sSup>
        <m:r>
          <m:t>−</m:t>
        </m:r>
        <m:r>
          <m:t>δ</m:t>
        </m:r>
        <m:r>
          <m:t>&lt;</m:t>
        </m:r>
        <m:r>
          <m:t>t</m:t>
        </m:r>
        <m:r>
          <m:t>&lt;</m:t>
        </m:r>
        <m:sSup>
          <m:e>
            <m:r>
              <m:t>t</m:t>
            </m:r>
          </m:e>
          <m:sup>
            <m:r>
              <m:t>*</m:t>
            </m:r>
          </m:sup>
        </m:sSup>
      </m:oMath>
      <w:r>
        <w:t xml:space="preserve">, contradicting the definition of</w:t>
      </w:r>
      <w:r>
        <w:t xml:space="preserve"> </w:t>
      </w:r>
      <m:oMath>
        <m:sSup>
          <m:e>
            <m:r>
              <m:t>t</m:t>
            </m:r>
          </m:e>
          <m:sup>
            <m:r>
              <m:t>*</m:t>
            </m:r>
          </m:sup>
        </m:sSup>
      </m:oMath>
      <w:r>
        <w:t xml:space="preserve">. The case</w:t>
      </w:r>
      <w:r>
        <w:t xml:space="preserve"> </w:t>
      </w:r>
      <m:oMath>
        <m:r>
          <m:t>m</m:t>
        </m:r>
        <m:r>
          <m:t>=</m:t>
        </m:r>
        <m:r>
          <m:t>M</m:t>
        </m:r>
      </m:oMath>
      <w:r>
        <w:t xml:space="preserve"> </w:t>
      </w:r>
      <w:r>
        <w:t xml:space="preserve">can be handled in the same way, using equation .</w:t>
      </w:r>
    </w:p>
    <w:p>
      <w:pPr>
        <w:pStyle w:val="BodyText"/>
      </w:pPr>
      <w:r>
        <w:rPr>
          <w:i/>
        </w:rPr>
        <w:t xml:space="preserve">Theorem 1:</w:t>
      </w:r>
    </w:p>
    <w:p>
      <w:pPr>
        <w:pStyle w:val="BodyText"/>
      </w:pPr>
      <w:r>
        <w:t xml:space="preserve">Suppose</w:t>
      </w:r>
      <w:r>
        <w:t xml:space="preserve"> </w:t>
      </w:r>
      <m:oMath>
        <m:sSub>
          <m:e>
            <m:r>
              <m:t>τ</m:t>
            </m:r>
          </m:e>
          <m:sub>
            <m:r>
              <m:t>m</m:t>
            </m:r>
          </m:sub>
        </m:sSub>
        <m:r>
          <m:t>(</m:t>
        </m:r>
        <m:sSub>
          <m:e>
            <m:r>
              <m:rPr>
                <m:sty m:val="b"/>
              </m:rPr>
              <m:t>v</m:t>
            </m:r>
          </m:e>
          <m:sub>
            <m:r>
              <m:t>j</m:t>
            </m:r>
          </m:sub>
        </m:sSub>
        <m:r>
          <m:t>,</m:t>
        </m:r>
        <m:sSub>
          <m:e>
            <m:r>
              <m:t>t</m:t>
            </m:r>
          </m:e>
          <m:sub>
            <m:r>
              <m:t>0</m:t>
            </m:r>
          </m:sub>
        </m:sSub>
        <m:r>
          <m:t>)</m:t>
        </m:r>
        <m:r>
          <m:t>&gt;</m:t>
        </m:r>
        <m:r>
          <m:t>0</m:t>
        </m:r>
      </m:oMath>
      <w:r>
        <w:t xml:space="preserve"> </w:t>
      </w:r>
      <w:r>
        <w:t xml:space="preserve">and</w:t>
      </w:r>
      <w:r>
        <w:t xml:space="preserve"> </w:t>
      </w:r>
      <m:oMath>
        <m:sSub>
          <m:e>
            <m:r>
              <m:t>f</m:t>
            </m:r>
          </m:e>
          <m:sub>
            <m:r>
              <m:t>τ</m:t>
            </m:r>
          </m:sub>
        </m:sSub>
        <m:r>
          <m:t>(</m:t>
        </m:r>
        <m:sSub>
          <m:e>
            <m:r>
              <m:rPr>
                <m:sty m:val="b"/>
              </m:rPr>
              <m:t>v</m:t>
            </m:r>
          </m:e>
          <m:sub>
            <m:r>
              <m:t>j</m:t>
            </m:r>
          </m:sub>
        </m:sSub>
        <m:r>
          <m:t>,</m:t>
        </m:r>
        <m:r>
          <m:t>t</m:t>
        </m:r>
        <m:r>
          <m:t>)</m:t>
        </m:r>
        <m:r>
          <m:t>&gt;</m:t>
        </m:r>
        <m:r>
          <m:t>0</m:t>
        </m:r>
      </m:oMath>
      <w:r>
        <w:t xml:space="preserve"> </w:t>
      </w:r>
      <w:r>
        <w:t xml:space="preserve">for all</w:t>
      </w:r>
      <w:r>
        <w:t xml:space="preserve"> </w:t>
      </w:r>
      <m:oMath>
        <m:sSub>
          <m:e>
            <m:r>
              <m:rPr>
                <m:sty m:val="b"/>
              </m:rPr>
              <m:t>v</m:t>
            </m:r>
          </m:e>
          <m:sub>
            <m:r>
              <m:t>j</m:t>
            </m:r>
          </m:sub>
        </m:sSub>
        <m:r>
          <m:t>∈</m:t>
        </m:r>
        <m:r>
          <m:t>V</m:t>
        </m:r>
        <m:r>
          <m:t>(</m:t>
        </m:r>
        <m:r>
          <m:t>Γ</m:t>
        </m:r>
        <m:r>
          <m:t>)</m:t>
        </m:r>
      </m:oMath>
      <w:r>
        <w:t xml:space="preserve">,</w:t>
      </w:r>
      <w:r>
        <w:t xml:space="preserve"> </w:t>
      </w:r>
      <m:oMath>
        <m:r>
          <m:t>t</m:t>
        </m:r>
        <m:r>
          <m:t>≥</m:t>
        </m:r>
        <m:r>
          <m:t>0</m:t>
        </m:r>
      </m:oMath>
      <w:r>
        <w:t xml:space="preserve">, and for</w:t>
      </w:r>
      <w:r>
        <w:t xml:space="preserve"> </w:t>
      </w:r>
      <m:oMath>
        <m:r>
          <m:t>1</m:t>
        </m:r>
        <m:r>
          <m:t>≤</m:t>
        </m:r>
        <m:r>
          <m:t>m</m:t>
        </m:r>
        <m:r>
          <m:t>≤</m:t>
        </m:r>
        <m:r>
          <m:t>M</m:t>
        </m:r>
      </m:oMath>
      <w:r>
        <w:t xml:space="preserve">. Let</w:t>
      </w:r>
      <w:r>
        <w:t xml:space="preserve"> </w:t>
      </w:r>
      <w:r>
        <w:t xml:space="preserve">$\tau=\tau(\mathbf{v},t): V(\Gamma) \times (t_{min},t_{max})\rightarrow \mathbf{\mathbb R}^{NM} $</w:t>
      </w:r>
      <w:r>
        <w:t xml:space="preserve"> </w:t>
      </w:r>
      <w:r>
        <w:t xml:space="preserve">be the maximal solution of the Cauchy problem , , .</w:t>
      </w:r>
      <w:r>
        <w:t xml:space="preserve"> </w:t>
      </w:r>
      <w:r>
        <w:t xml:space="preserve">Then</w:t>
      </w:r>
      <w:r>
        <w:t xml:space="preserve"> </w:t>
      </w:r>
      <m:oMath>
        <m:sSub>
          <m:e>
            <m:r>
              <m:t>t</m:t>
            </m:r>
          </m:e>
          <m:sub>
            <m:r>
              <m:t>m</m:t>
            </m:r>
            <m:r>
              <m:t>a</m:t>
            </m:r>
            <m:r>
              <m:t>x</m:t>
            </m:r>
          </m:sub>
        </m:sSub>
        <m:r>
          <m:t>=</m:t>
        </m:r>
        <m:r>
          <m:t>+</m:t>
        </m:r>
        <m:r>
          <m:t>∞</m:t>
        </m:r>
      </m:oMath>
      <w:r>
        <w:t xml:space="preserve"> </w:t>
      </w:r>
      <w:r>
        <w:t xml:space="preserve">and</w:t>
      </w:r>
      <w:r>
        <w:t xml:space="preserve"> </w:t>
      </w:r>
      <m:oMath>
        <m:sSub>
          <m:e>
            <m:r>
              <m:t>t</m:t>
            </m:r>
          </m:e>
          <m:sub>
            <m:r>
              <m:t>m</m:t>
            </m:r>
            <m:r>
              <m:t>i</m:t>
            </m:r>
            <m:r>
              <m:t>n</m:t>
            </m:r>
          </m:sub>
        </m:sSub>
        <m:r>
          <m:t>=</m:t>
        </m:r>
        <m:r>
          <m:t>−</m:t>
        </m:r>
        <m:r>
          <m:t>∞</m:t>
        </m:r>
      </m:oMath>
      <w:r>
        <w:t xml:space="preserve">.</w:t>
      </w:r>
    </w:p>
    <w:p>
      <w:pPr>
        <w:pStyle w:val="BodyText"/>
      </w:pPr>
      <w:r>
        <w:rPr>
          <w:i/>
        </w:rPr>
        <w:t xml:space="preserve">Proof:</w:t>
      </w:r>
    </w:p>
    <w:p>
      <w:pPr>
        <w:pStyle w:val="BodyText"/>
      </w:pPr>
      <w:r>
        <w:t xml:space="preserve">Let us prove that</w:t>
      </w:r>
      <w:r>
        <w:t xml:space="preserve"> </w:t>
      </w:r>
      <m:oMath>
        <m:sSub>
          <m:e>
            <m:r>
              <m:t>t</m:t>
            </m:r>
          </m:e>
          <m:sub>
            <m:r>
              <m:t>m</m:t>
            </m:r>
            <m:r>
              <m:t>a</m:t>
            </m:r>
            <m:r>
              <m:t>x</m:t>
            </m:r>
          </m:sub>
        </m:sSub>
        <m:r>
          <m:t>=</m:t>
        </m:r>
        <m:r>
          <m:t>+</m:t>
        </m:r>
        <m:r>
          <m:t>∞</m:t>
        </m:r>
      </m:oMath>
      <w:r>
        <w:t xml:space="preserve">. By a classical result (see, e.g., (Hartman 1964), Corollary 3.1), if, by contradiction,</w:t>
      </w:r>
      <w:r>
        <w:t xml:space="preserve"> </w:t>
      </w:r>
      <m:oMath>
        <m:sSub>
          <m:e>
            <m:r>
              <m:t>t</m:t>
            </m:r>
          </m:e>
          <m:sub>
            <m:r>
              <m:t>m</m:t>
            </m:r>
            <m:r>
              <m:t>a</m:t>
            </m:r>
            <m:r>
              <m:t>x</m:t>
            </m:r>
          </m:sub>
        </m:sSub>
        <m:r>
          <m:t>&lt;</m:t>
        </m:r>
        <m:r>
          <m:t>+</m:t>
        </m:r>
        <m:r>
          <m:t>∞</m:t>
        </m:r>
      </m:oMath>
      <w:r>
        <w:t xml:space="preserve">, then we would have</w:t>
      </w:r>
      <w:r>
        <w:t xml:space="preserve"> </w:t>
      </w:r>
      <m:oMath>
        <m:sSub>
          <m:e>
            <m:r>
              <m:rPr>
                <m:sty m:val="p"/>
              </m:rPr>
              <m:t>lim</m:t>
            </m:r>
          </m:e>
          <m:sub>
            <m:r>
              <m:t>t</m:t>
            </m:r>
            <m:r>
              <m:t>→</m:t>
            </m:r>
            <m:sSub>
              <m:e>
                <m:r>
                  <m:t>t</m:t>
                </m:r>
              </m:e>
              <m:sub>
                <m:r>
                  <m:t>m</m:t>
                </m:r>
                <m:r>
                  <m:t>a</m:t>
                </m:r>
                <m:r>
                  <m:t>x</m:t>
                </m:r>
              </m:sub>
            </m:sSub>
          </m:sub>
        </m:sSub>
        <m:r>
          <m:t>|</m:t>
        </m:r>
        <m:r>
          <m:t>τ</m:t>
        </m:r>
        <m:r>
          <m:t>(</m:t>
        </m:r>
        <m:r>
          <m:t>⋅</m:t>
        </m:r>
        <m:r>
          <m:t>,</m:t>
        </m:r>
        <m:r>
          <m:t>t</m:t>
        </m:r>
        <m:r>
          <m:t>)</m:t>
        </m:r>
        <m:r>
          <m:t>|</m:t>
        </m:r>
        <m:r>
          <m:t>=</m:t>
        </m:r>
        <m:r>
          <m:t>+</m:t>
        </m:r>
        <m:r>
          <m:t>∞</m:t>
        </m:r>
      </m:oMath>
      <w:r>
        <w:t xml:space="preserve">. Thus, to prove the assertion we have but to</w:t>
      </w:r>
      <w:r>
        <w:t xml:space="preserve"> </w:t>
      </w:r>
      <w:r>
        <w:t xml:space="preserve">show that, if</w:t>
      </w:r>
      <w:r>
        <w:t xml:space="preserve"> </w:t>
      </w:r>
      <m:oMath>
        <m:sSub>
          <m:e>
            <m:r>
              <m:t>t</m:t>
            </m:r>
          </m:e>
          <m:sub>
            <m:r>
              <m:t>m</m:t>
            </m:r>
            <m:r>
              <m:t>a</m:t>
            </m:r>
            <m:r>
              <m:t>x</m:t>
            </m:r>
          </m:sub>
        </m:sSub>
        <m:r>
          <m:t>&lt;</m:t>
        </m:r>
        <m:r>
          <m:t>+</m:t>
        </m:r>
        <m:r>
          <m:t>∞</m:t>
        </m:r>
      </m:oMath>
      <w:r>
        <w:t xml:space="preserve">, then</w:t>
      </w:r>
      <w:r>
        <w:t xml:space="preserve"> </w:t>
      </w:r>
      <m:oMath>
        <m:r>
          <m:t>τ</m:t>
        </m:r>
        <m:r>
          <m:t>(</m:t>
        </m:r>
        <m:r>
          <m:t>⋅</m:t>
        </m:r>
        <m:r>
          <m:t>,</m:t>
        </m:r>
        <m:r>
          <m:t>t</m:t>
        </m:r>
        <m:r>
          <m:t>)</m:t>
        </m:r>
      </m:oMath>
      <w:r>
        <w:t xml:space="preserve"> </w:t>
      </w:r>
      <w:r>
        <w:t xml:space="preserve">is bounded when</w:t>
      </w:r>
      <w:r>
        <w:t xml:space="preserve"> </w:t>
      </w:r>
      <m:oMath>
        <m:r>
          <m:t>t</m:t>
        </m:r>
      </m:oMath>
      <w:r>
        <w:t xml:space="preserve"> </w:t>
      </w:r>
      <w:r>
        <w:t xml:space="preserve">belongs to a left neighborhood of</w:t>
      </w:r>
      <w:r>
        <w:t xml:space="preserve"> </w:t>
      </w:r>
      <m:oMath>
        <m:sSub>
          <m:e>
            <m:r>
              <m:t>t</m:t>
            </m:r>
          </m:e>
          <m:sub>
            <m:r>
              <m:t>m</m:t>
            </m:r>
            <m:r>
              <m:t>a</m:t>
            </m:r>
            <m:r>
              <m:t>x</m:t>
            </m:r>
          </m:sub>
        </m:sSub>
      </m:oMath>
      <w:r>
        <w:t xml:space="preserve">.</w:t>
      </w:r>
    </w:p>
    <w:p>
      <w:pPr>
        <w:pStyle w:val="BodyText"/>
      </w:pPr>
      <w:r>
        <w:t xml:space="preserve">By Lemma 1, for all</w:t>
      </w:r>
      <w:r>
        <w:t xml:space="preserve"> </w:t>
      </w:r>
      <m:oMath>
        <m:sSub>
          <m:e>
            <m:r>
              <m:rPr>
                <m:sty m:val="b"/>
              </m:rPr>
              <m:t>v</m:t>
            </m:r>
          </m:e>
          <m:sub>
            <m:r>
              <m:t>k</m:t>
            </m:r>
          </m:sub>
        </m:sSub>
        <m:r>
          <m:t>∈</m:t>
        </m:r>
        <m:r>
          <m:t>V</m:t>
        </m:r>
        <m:r>
          <m:t>(</m:t>
        </m:r>
        <m:r>
          <m:t>Γ</m:t>
        </m:r>
        <m:r>
          <m:t>)</m:t>
        </m:r>
      </m:oMath>
      <w:r>
        <w:t xml:space="preserve"> </w:t>
      </w:r>
      <w:r>
        <w:t xml:space="preserve">we have:</w:t>
      </w:r>
    </w:p>
    <w:p>
      <w:pPr>
        <w:pStyle w:val="BodyText"/>
      </w:pPr>
      <m:oMathPara>
        <m:oMathParaPr>
          <m:jc m:val="center"/>
        </m:oMathParaPr>
        <m:oMath>
          <m:f>
            <m:fPr>
              <m:type m:val="bar"/>
            </m:fPr>
            <m:num>
              <m:r>
                <m:t>∂</m:t>
              </m:r>
              <m:sSub>
                <m:e>
                  <m:r>
                    <m:t>τ</m:t>
                  </m:r>
                </m:e>
                <m:sub>
                  <m:r>
                    <m:t>1</m:t>
                  </m:r>
                </m:sub>
              </m:sSub>
            </m:num>
            <m:den>
              <m:r>
                <m:t>∂</m:t>
              </m:r>
              <m:r>
                <m:t>t</m:t>
              </m:r>
            </m:den>
          </m:f>
          <m:r>
            <m:t>(</m:t>
          </m:r>
          <m:sSub>
            <m:e>
              <m:r>
                <m:rPr>
                  <m:sty m:val="b"/>
                </m:rPr>
                <m:t>v</m:t>
              </m:r>
            </m:e>
            <m:sub>
              <m:r>
                <m:t>k</m:t>
              </m:r>
            </m:sub>
          </m:sSub>
          <m:r>
            <m:t>,</m:t>
          </m:r>
          <m:r>
            <m:t>t</m:t>
          </m:r>
          <m:r>
            <m:t>)</m:t>
          </m:r>
          <m:r>
            <m:t>=</m:t>
          </m:r>
          <m:r>
            <m:t>−</m:t>
          </m:r>
          <m:sSub>
            <m:e>
              <m:r>
                <m:t>d</m:t>
              </m:r>
            </m:e>
            <m:sub>
              <m:r>
                <m:t>1</m:t>
              </m:r>
            </m:sub>
          </m:sSub>
          <m:sSub>
            <m:e>
              <m:r>
                <m:t>Δ</m:t>
              </m:r>
            </m:e>
            <m:sub>
              <m:r>
                <m:t>Γ</m:t>
              </m:r>
            </m:sub>
          </m:sSub>
          <m:sSub>
            <m:e>
              <m:r>
                <m:t>τ</m:t>
              </m:r>
            </m:e>
            <m:sub>
              <m:r>
                <m:t>1</m:t>
              </m:r>
            </m:sub>
          </m:sSub>
          <m:r>
            <m:t>(</m:t>
          </m:r>
          <m:sSub>
            <m:e>
              <m:r>
                <m:rPr>
                  <m:sty m:val="b"/>
                </m:rPr>
                <m:t>v</m:t>
              </m:r>
            </m:e>
            <m:sub>
              <m:r>
                <m:t>k</m:t>
              </m:r>
            </m:sub>
          </m:sSub>
          <m:r>
            <m:t>,</m:t>
          </m:r>
          <m:r>
            <m:t>t</m:t>
          </m:r>
          <m:r>
            <m:t>)</m:t>
          </m:r>
          <m:r>
            <m:t>−</m:t>
          </m:r>
          <m:sSub>
            <m:e>
              <m:r>
                <m:t>τ</m:t>
              </m:r>
            </m:e>
            <m:sub>
              <m:r>
                <m:t>1</m:t>
              </m:r>
            </m:sub>
          </m:sSub>
          <m:r>
            <m:t>(</m:t>
          </m:r>
          <m:sSub>
            <m:e>
              <m:r>
                <m:rPr>
                  <m:sty m:val="b"/>
                </m:rPr>
                <m:t>v</m:t>
              </m:r>
            </m:e>
            <m:sub>
              <m:r>
                <m:t>k</m:t>
              </m:r>
            </m:sub>
          </m:sSub>
          <m:r>
            <m:t>,</m:t>
          </m:r>
          <m:r>
            <m:t>t</m:t>
          </m:r>
          <m:r>
            <m:t>)</m:t>
          </m:r>
          <m:nary>
            <m:naryPr>
              <m:chr m:val="∑"/>
              <m:limLoc m:val="undOvr"/>
              <m:subHide m:val="0"/>
              <m:supHide m:val="0"/>
            </m:naryPr>
            <m:sub>
              <m:r>
                <m:t>j</m:t>
              </m:r>
              <m:r>
                <m:t>=</m:t>
              </m:r>
              <m:r>
                <m:t>1</m:t>
              </m:r>
            </m:sub>
            <m:sup>
              <m:r>
                <m:t>M</m:t>
              </m:r>
            </m:sup>
            <m:e>
              <m:sSub>
                <m:e>
                  <m:r>
                    <m:t>a</m:t>
                  </m:r>
                </m:e>
                <m:sub>
                  <m:r>
                    <m:t>1</m:t>
                  </m:r>
                  <m:r>
                    <m:t>,</m:t>
                  </m:r>
                  <m:r>
                    <m:t>j</m:t>
                  </m:r>
                </m:sub>
              </m:sSub>
            </m:e>
          </m:nary>
          <m:sSub>
            <m:e>
              <m:r>
                <m:t>τ</m:t>
              </m:r>
            </m:e>
            <m:sub>
              <m:r>
                <m:t>j</m:t>
              </m:r>
            </m:sub>
          </m:sSub>
          <m:r>
            <m:t>(</m:t>
          </m:r>
          <m:sSub>
            <m:e>
              <m:r>
                <m:rPr>
                  <m:sty m:val="b"/>
                </m:rPr>
                <m:t>v</m:t>
              </m:r>
            </m:e>
            <m:sub>
              <m:r>
                <m:t>k</m:t>
              </m:r>
            </m:sub>
          </m:sSub>
          <m:r>
            <m:t>,</m:t>
          </m:r>
          <m:r>
            <m:t>t</m:t>
          </m:r>
          <m:r>
            <m:t>)</m:t>
          </m:r>
          <m:r>
            <m:t>+</m:t>
          </m:r>
          <m:sSub>
            <m:e>
              <m:r>
                <m:t>f</m:t>
              </m:r>
            </m:e>
            <m:sub>
              <m:r>
                <m:t>τ</m:t>
              </m:r>
            </m:sub>
          </m:sSub>
          <m:r>
            <m:t>(</m:t>
          </m:r>
          <m:sSub>
            <m:e>
              <m:r>
                <m:rPr>
                  <m:sty m:val="b"/>
                </m:rPr>
                <m:t>v</m:t>
              </m:r>
            </m:e>
            <m:sub>
              <m:r>
                <m:t>k</m:t>
              </m:r>
            </m:sub>
          </m:sSub>
          <m:r>
            <m:t>,</m:t>
          </m:r>
          <m:r>
            <m:t>t</m:t>
          </m:r>
          <m:r>
            <m:t>)</m:t>
          </m:r>
          <m:r>
            <m:t>&lt;</m:t>
          </m:r>
          <m:r>
            <m:t>−</m:t>
          </m:r>
          <m:sSub>
            <m:e>
              <m:r>
                <m:t>d</m:t>
              </m:r>
            </m:e>
            <m:sub>
              <m:r>
                <m:t>1</m:t>
              </m:r>
            </m:sub>
          </m:sSub>
          <m:sSub>
            <m:e>
              <m:r>
                <m:t>Δ</m:t>
              </m:r>
            </m:e>
            <m:sub>
              <m:r>
                <m:t>Γ</m:t>
              </m:r>
            </m:sub>
          </m:sSub>
          <m:sSub>
            <m:e>
              <m:r>
                <m:t>τ</m:t>
              </m:r>
            </m:e>
            <m:sub>
              <m:r>
                <m:t>1</m:t>
              </m:r>
            </m:sub>
          </m:sSub>
          <m:r>
            <m:t>(</m:t>
          </m:r>
          <m:sSub>
            <m:e>
              <m:r>
                <m:rPr>
                  <m:sty m:val="b"/>
                </m:rPr>
                <m:t>v</m:t>
              </m:r>
            </m:e>
            <m:sub>
              <m:r>
                <m:t>k</m:t>
              </m:r>
            </m:sub>
          </m:sSub>
          <m:r>
            <m:t>,</m:t>
          </m:r>
          <m:r>
            <m:t>t</m:t>
          </m:r>
          <m:r>
            <m:t>)</m:t>
          </m:r>
          <m:r>
            <m:t>+</m:t>
          </m:r>
          <m:sSub>
            <m:e>
              <m:r>
                <m:t>f</m:t>
              </m:r>
            </m:e>
            <m:sub>
              <m:r>
                <m:t>τ</m:t>
              </m:r>
            </m:sub>
          </m:sSub>
          <m:r>
            <m:t>(</m:t>
          </m:r>
          <m:sSub>
            <m:e>
              <m:r>
                <m:rPr>
                  <m:sty m:val="b"/>
                </m:rPr>
                <m:t>v</m:t>
              </m:r>
            </m:e>
            <m:sub>
              <m:r>
                <m:t>k</m:t>
              </m:r>
            </m:sub>
          </m:sSub>
          <m:r>
            <m:t>,</m:t>
          </m:r>
          <m:r>
            <m:t>t</m:t>
          </m:r>
          <m:r>
            <m:t>)</m:t>
          </m:r>
          <m:r>
            <m:t>.</m:t>
          </m:r>
        </m:oMath>
      </m:oMathPara>
    </w:p>
    <w:p>
      <w:pPr>
        <w:pStyle w:val="FirstParagraph"/>
      </w:pPr>
      <w:r>
        <w:t xml:space="preserve">Again by Lemma 1 we can multiply by</w:t>
      </w:r>
      <w:r>
        <w:t xml:space="preserve"> </w:t>
      </w:r>
      <m:oMath>
        <m:sSub>
          <m:e>
            <m:r>
              <m:t>τ</m:t>
            </m:r>
          </m:e>
          <m:sub>
            <m:r>
              <m:t>1</m:t>
            </m:r>
          </m:sub>
        </m:sSub>
        <m:r>
          <m:t>(</m:t>
        </m:r>
        <m:sSub>
          <m:e>
            <m:r>
              <m:rPr>
                <m:sty m:val="b"/>
              </m:rPr>
              <m:t>v</m:t>
            </m:r>
          </m:e>
          <m:sub>
            <m:r>
              <m:t>k</m:t>
            </m:r>
          </m:sub>
        </m:sSub>
        <m:r>
          <m:t>,</m:t>
        </m:r>
        <m:r>
          <m:t>t</m:t>
        </m:r>
        <m:r>
          <m:t>)</m:t>
        </m:r>
      </m:oMath>
      <w:r>
        <w:t xml:space="preserve">.</w:t>
      </w:r>
      <w:r>
        <w:t xml:space="preserve"> </w:t>
      </w:r>
      <w:r>
        <w:t xml:space="preserve">Summing up over all</w:t>
      </w:r>
      <w:r>
        <w:t xml:space="preserve"> </w:t>
      </w:r>
      <m:oMath>
        <m:sSub>
          <m:e>
            <m:r>
              <m:rPr>
                <m:sty m:val="b"/>
              </m:rPr>
              <m:t>v</m:t>
            </m:r>
          </m:e>
          <m:sub>
            <m:r>
              <m:t>k</m:t>
            </m:r>
          </m:sub>
        </m:sSub>
        <m:r>
          <m:t>∈</m:t>
        </m:r>
        <m:r>
          <m:t>V</m:t>
        </m:r>
        <m:r>
          <m:t>(</m:t>
        </m:r>
        <m:r>
          <m:t>Γ</m:t>
        </m:r>
        <m:r>
          <m:t>)</m:t>
        </m:r>
      </m:oMath>
      <w:r>
        <w:t xml:space="preserve"> </w:t>
      </w:r>
      <w:r>
        <w:t xml:space="preserve">we get</w:t>
      </w:r>
    </w:p>
    <w:p>
      <w:pPr>
        <w:pStyle w:val="BodyText"/>
      </w:pPr>
      <m:oMathPara>
        <m:oMathParaPr>
          <m:jc m:val="center"/>
        </m:oMathParaPr>
        <m:oMath>
          <m:nary>
            <m:naryPr>
              <m:chr m:val="∑"/>
              <m:limLoc m:val="undOvr"/>
              <m:subHide m:val="0"/>
              <m:supHide m:val="1"/>
            </m:naryPr>
            <m:sub>
              <m:sSub>
                <m:e>
                  <m:r>
                    <m:rPr>
                      <m:sty m:val="b"/>
                    </m:rPr>
                    <m:t>v</m:t>
                  </m:r>
                </m:e>
                <m:sub>
                  <m:r>
                    <m:t>k</m:t>
                  </m:r>
                </m:sub>
              </m:sSub>
              <m:r>
                <m:t>∈</m:t>
              </m:r>
              <m:r>
                <m:t>V</m:t>
              </m:r>
              <m:r>
                <m:t>(</m:t>
              </m:r>
              <m:r>
                <m:t>Γ</m:t>
              </m:r>
              <m:r>
                <m:t>)</m:t>
              </m:r>
            </m:sub>
            <m:sup/>
            <m:e>
              <m:sSub>
                <m:e>
                  <m:r>
                    <m:t>τ</m:t>
                  </m:r>
                </m:e>
                <m:sub>
                  <m:r>
                    <m:t>1</m:t>
                  </m:r>
                </m:sub>
              </m:sSub>
            </m:e>
          </m:nary>
          <m:r>
            <m:t>(</m:t>
          </m:r>
          <m:sSub>
            <m:e>
              <m:r>
                <m:rPr>
                  <m:sty m:val="b"/>
                </m:rPr>
                <m:t>v</m:t>
              </m:r>
            </m:e>
            <m:sub>
              <m:r>
                <m:t>k</m:t>
              </m:r>
            </m:sub>
          </m:sSub>
          <m:r>
            <m:t>,</m:t>
          </m:r>
          <m:r>
            <m:t>t</m:t>
          </m:r>
          <m:r>
            <m:t>)</m:t>
          </m:r>
          <m:f>
            <m:fPr>
              <m:type m:val="bar"/>
            </m:fPr>
            <m:num>
              <m:r>
                <m:t>∂</m:t>
              </m:r>
              <m:sSub>
                <m:e>
                  <m:r>
                    <m:t>τ</m:t>
                  </m:r>
                </m:e>
                <m:sub>
                  <m:r>
                    <m:t>1</m:t>
                  </m:r>
                </m:sub>
              </m:sSub>
            </m:num>
            <m:den>
              <m:r>
                <m:t>∂</m:t>
              </m:r>
              <m:r>
                <m:t>t</m:t>
              </m:r>
            </m:den>
          </m:f>
          <m:r>
            <m:t>(</m:t>
          </m:r>
          <m:sSub>
            <m:e>
              <m:r>
                <m:rPr>
                  <m:sty m:val="b"/>
                </m:rPr>
                <m:t>v</m:t>
              </m:r>
            </m:e>
            <m:sub>
              <m:r>
                <m:t>k</m:t>
              </m:r>
            </m:sub>
          </m:sSub>
          <m:r>
            <m:t>,</m:t>
          </m:r>
          <m:r>
            <m:t>t</m:t>
          </m:r>
          <m:r>
            <m:t>)</m:t>
          </m:r>
          <m:r>
            <m:t>&lt;</m:t>
          </m:r>
          <m:nary>
            <m:naryPr>
              <m:chr m:val="∑"/>
              <m:limLoc m:val="undOvr"/>
              <m:subHide m:val="0"/>
              <m:supHide m:val="1"/>
            </m:naryPr>
            <m:sub>
              <m:sSub>
                <m:e>
                  <m:r>
                    <m:rPr>
                      <m:sty m:val="b"/>
                    </m:rPr>
                    <m:t>v</m:t>
                  </m:r>
                </m:e>
                <m:sub>
                  <m:r>
                    <m:t>k</m:t>
                  </m:r>
                </m:sub>
              </m:sSub>
              <m:r>
                <m:t>∈</m:t>
              </m:r>
              <m:r>
                <m:t>V</m:t>
              </m:r>
              <m:r>
                <m:t>(</m:t>
              </m:r>
              <m:r>
                <m:t>Γ</m:t>
              </m:r>
              <m:r>
                <m:t>)</m:t>
              </m:r>
            </m:sub>
            <m:sup/>
            <m:e>
              <m:sSub>
                <m:e>
                  <m:r>
                    <m:t>τ</m:t>
                  </m:r>
                </m:e>
                <m:sub>
                  <m:r>
                    <m:t>1</m:t>
                  </m:r>
                </m:sub>
              </m:sSub>
            </m:e>
          </m:nary>
          <m:r>
            <m:t>(</m:t>
          </m:r>
          <m:sSub>
            <m:e>
              <m:r>
                <m:rPr>
                  <m:sty m:val="b"/>
                </m:rPr>
                <m:t>v</m:t>
              </m:r>
            </m:e>
            <m:sub>
              <m:r>
                <m:t>k</m:t>
              </m:r>
            </m:sub>
          </m:sSub>
          <m:r>
            <m:t>,</m:t>
          </m:r>
          <m:r>
            <m:t>t</m:t>
          </m:r>
          <m:r>
            <m:t>)</m:t>
          </m:r>
          <m:r>
            <m:t>(</m:t>
          </m:r>
          <m:r>
            <m:t>−</m:t>
          </m:r>
          <m:sSub>
            <m:e>
              <m:r>
                <m:t>d</m:t>
              </m:r>
            </m:e>
            <m:sub>
              <m:r>
                <m:t>1</m:t>
              </m:r>
            </m:sub>
          </m:sSub>
          <m:sSub>
            <m:e>
              <m:r>
                <m:t>Δ</m:t>
              </m:r>
            </m:e>
            <m:sub>
              <m:r>
                <m:t>Γ</m:t>
              </m:r>
            </m:sub>
          </m:sSub>
          <m:sSub>
            <m:e>
              <m:r>
                <m:t>τ</m:t>
              </m:r>
            </m:e>
            <m:sub>
              <m:r>
                <m:t>1</m:t>
              </m:r>
            </m:sub>
          </m:sSub>
          <m:r>
            <m:t>(</m:t>
          </m:r>
          <m:sSub>
            <m:e>
              <m:r>
                <m:rPr>
                  <m:sty m:val="b"/>
                </m:rPr>
                <m:t>v</m:t>
              </m:r>
            </m:e>
            <m:sub>
              <m:r>
                <m:t>k</m:t>
              </m:r>
            </m:sub>
          </m:sSub>
          <m:r>
            <m:t>,</m:t>
          </m:r>
          <m:r>
            <m:t>t</m:t>
          </m:r>
          <m:r>
            <m:t>)</m:t>
          </m:r>
          <m:r>
            <m:t>+</m:t>
          </m:r>
          <m:sSub>
            <m:e>
              <m:r>
                <m:t>f</m:t>
              </m:r>
            </m:e>
            <m:sub>
              <m:r>
                <m:t>τ</m:t>
              </m:r>
            </m:sub>
          </m:sSub>
          <m:r>
            <m:t>(</m:t>
          </m:r>
          <m:sSub>
            <m:e>
              <m:r>
                <m:rPr>
                  <m:sty m:val="b"/>
                </m:rPr>
                <m:t>v</m:t>
              </m:r>
            </m:e>
            <m:sub>
              <m:r>
                <m:t>k</m:t>
              </m:r>
            </m:sub>
          </m:sSub>
          <m:r>
            <m:t>,</m:t>
          </m:r>
          <m:r>
            <m:t>t</m:t>
          </m:r>
          <m:r>
            <m:t>)</m:t>
          </m:r>
          <m:r>
            <m:t>)</m:t>
          </m:r>
          <m:r>
            <m:t>.</m:t>
          </m:r>
        </m:oMath>
      </m:oMathPara>
    </w:p>
    <w:p>
      <w:pPr>
        <w:pStyle w:val="FirstParagraph"/>
      </w:pPr>
      <w:r>
        <w:t xml:space="preserve">Therefore</w:t>
      </w:r>
    </w:p>
    <w:p>
      <w:pPr>
        <w:pStyle w:val="BodyText"/>
      </w:pPr>
      <m:oMathPara>
        <m:oMathParaPr>
          <m:jc m:val="center"/>
        </m:oMathParaPr>
        <m:oMath>
          <m:f>
            <m:fPr>
              <m:type m:val="bar"/>
            </m:fPr>
            <m:num>
              <m:r>
                <m:t>1</m:t>
              </m:r>
            </m:num>
            <m:den>
              <m:r>
                <m:t>2</m:t>
              </m:r>
            </m:den>
          </m:f>
          <m:r>
            <m:t> </m:t>
          </m:r>
          <m:f>
            <m:fPr>
              <m:type m:val="bar"/>
            </m:fPr>
            <m:num>
              <m:r>
                <m:t>∂</m:t>
              </m:r>
              <m:r>
                <m:t>|</m:t>
              </m:r>
              <m:sSub>
                <m:e>
                  <m:r>
                    <m:t>τ</m:t>
                  </m:r>
                </m:e>
                <m:sub>
                  <m:r>
                    <m:t>1</m:t>
                  </m:r>
                </m:sub>
              </m:sSub>
              <m:r>
                <m:t>(</m:t>
              </m:r>
              <m:r>
                <m:t>⋅</m:t>
              </m:r>
              <m:r>
                <m:t>,</m:t>
              </m:r>
              <m:r>
                <m:t>t</m:t>
              </m:r>
              <m:r>
                <m:t>)</m:t>
              </m:r>
              <m:sSup>
                <m:e>
                  <m:r>
                    <m:t>|</m:t>
                  </m:r>
                </m:e>
                <m:sup>
                  <m:r>
                    <m:t>2</m:t>
                  </m:r>
                </m:sup>
              </m:sSup>
            </m:num>
            <m:den>
              <m:r>
                <m:t>∂</m:t>
              </m:r>
              <m:r>
                <m:t>t</m:t>
              </m:r>
            </m:den>
          </m:f>
          <m:r>
            <m:t>&lt;</m:t>
          </m:r>
          <m:r>
            <m:t>−</m:t>
          </m:r>
          <m:sSub>
            <m:e>
              <m:r>
                <m:t>d</m:t>
              </m:r>
            </m:e>
            <m:sub>
              <m:r>
                <m:t>1</m:t>
              </m:r>
            </m:sub>
          </m:sSub>
          <m:nary>
            <m:naryPr>
              <m:chr m:val="∑"/>
              <m:limLoc m:val="undOvr"/>
              <m:subHide m:val="0"/>
              <m:supHide m:val="1"/>
            </m:naryPr>
            <m:sub>
              <m:sSub>
                <m:e>
                  <m:r>
                    <m:rPr>
                      <m:sty m:val="b"/>
                    </m:rPr>
                    <m:t>v</m:t>
                  </m:r>
                </m:e>
                <m:sub>
                  <m:r>
                    <m:t>i</m:t>
                  </m:r>
                </m:sub>
              </m:sSub>
              <m:r>
                <m:t>∼</m:t>
              </m:r>
              <m:sSub>
                <m:e>
                  <m:r>
                    <m:rPr>
                      <m:sty m:val="b"/>
                    </m:rPr>
                    <m:t>v</m:t>
                  </m:r>
                </m:e>
                <m:sub>
                  <m:r>
                    <m:t>k</m:t>
                  </m:r>
                </m:sub>
              </m:sSub>
            </m:sub>
            <m:sup/>
            <m:e>
              <m:r>
                <m:t>(</m:t>
              </m:r>
            </m:e>
          </m:nary>
          <m:sSub>
            <m:e>
              <m:r>
                <m:t>τ</m:t>
              </m:r>
            </m:e>
            <m:sub>
              <m:r>
                <m:t>1</m:t>
              </m:r>
            </m:sub>
          </m:sSub>
          <m:r>
            <m:t>(</m:t>
          </m:r>
          <m:sSub>
            <m:e>
              <m:r>
                <m:rPr>
                  <m:sty m:val="b"/>
                </m:rPr>
                <m:t>v</m:t>
              </m:r>
            </m:e>
            <m:sub>
              <m:r>
                <m:t>k</m:t>
              </m:r>
            </m:sub>
          </m:sSub>
          <m:r>
            <m:t>,</m:t>
          </m:r>
          <m:r>
            <m:t>t</m:t>
          </m:r>
          <m:r>
            <m:t>)</m:t>
          </m:r>
          <m:r>
            <m:t>−</m:t>
          </m:r>
          <m:sSub>
            <m:e>
              <m:r>
                <m:t>τ</m:t>
              </m:r>
            </m:e>
            <m:sub>
              <m:r>
                <m:t>1</m:t>
              </m:r>
            </m:sub>
          </m:sSub>
          <m:r>
            <m:t>(</m:t>
          </m:r>
          <m:sSub>
            <m:e>
              <m:r>
                <m:rPr>
                  <m:sty m:val="b"/>
                </m:rPr>
                <m:t>v</m:t>
              </m:r>
            </m:e>
            <m:sub>
              <m:r>
                <m:t>i</m:t>
              </m:r>
            </m:sub>
          </m:sSub>
          <m:r>
            <m:t>,</m:t>
          </m:r>
          <m:r>
            <m:t>t</m:t>
          </m:r>
          <m:r>
            <m:t>)</m:t>
          </m:r>
          <m:sSup>
            <m:e>
              <m:r>
                <m:t>)</m:t>
              </m:r>
            </m:e>
            <m:sup>
              <m:r>
                <m:t>2</m:t>
              </m:r>
            </m:sup>
          </m:sSup>
          <m:sSub>
            <m:e>
              <m:r>
                <m:t>c</m:t>
              </m:r>
            </m:e>
            <m:sub>
              <m:r>
                <m:t>i</m:t>
              </m:r>
              <m:r>
                <m:t>k</m:t>
              </m:r>
            </m:sub>
          </m:sSub>
          <m:r>
            <m:t>+</m:t>
          </m:r>
          <m:nary>
            <m:naryPr>
              <m:chr m:val="∑"/>
              <m:limLoc m:val="undOvr"/>
              <m:subHide m:val="0"/>
              <m:supHide m:val="1"/>
            </m:naryPr>
            <m:sub>
              <m:sSub>
                <m:e>
                  <m:r>
                    <m:rPr>
                      <m:sty m:val="b"/>
                    </m:rPr>
                    <m:t>v</m:t>
                  </m:r>
                </m:e>
                <m:sub>
                  <m:r>
                    <m:t>k</m:t>
                  </m:r>
                </m:sub>
              </m:sSub>
              <m:r>
                <m:t>∈</m:t>
              </m:r>
              <m:r>
                <m:t>V</m:t>
              </m:r>
              <m:r>
                <m:t>(</m:t>
              </m:r>
              <m:r>
                <m:t>Γ</m:t>
              </m:r>
              <m:r>
                <m:t>)</m:t>
              </m:r>
            </m:sub>
            <m:sup/>
            <m:e>
              <m:sSub>
                <m:e>
                  <m:r>
                    <m:t>τ</m:t>
                  </m:r>
                </m:e>
                <m:sub>
                  <m:r>
                    <m:t>1</m:t>
                  </m:r>
                </m:sub>
              </m:sSub>
            </m:e>
          </m:nary>
          <m:r>
            <m:t>(</m:t>
          </m:r>
          <m:sSub>
            <m:e>
              <m:r>
                <m:rPr>
                  <m:sty m:val="b"/>
                </m:rPr>
                <m:t>v</m:t>
              </m:r>
            </m:e>
            <m:sub>
              <m:r>
                <m:t>k</m:t>
              </m:r>
            </m:sub>
          </m:sSub>
          <m:r>
            <m:t>,</m:t>
          </m:r>
          <m:r>
            <m:t>t</m:t>
          </m:r>
          <m:r>
            <m:t>)</m:t>
          </m:r>
          <m:sSub>
            <m:e>
              <m:r>
                <m:t>f</m:t>
              </m:r>
            </m:e>
            <m:sub>
              <m:r>
                <m:t>τ</m:t>
              </m:r>
            </m:sub>
          </m:sSub>
          <m:r>
            <m:t>(</m:t>
          </m:r>
          <m:sSub>
            <m:e>
              <m:r>
                <m:rPr>
                  <m:sty m:val="b"/>
                </m:rPr>
                <m:t>v</m:t>
              </m:r>
            </m:e>
            <m:sub>
              <m:r>
                <m:t>k</m:t>
              </m:r>
            </m:sub>
          </m:sSub>
          <m:r>
            <m:t>,</m:t>
          </m:r>
          <m:r>
            <m:t>t</m:t>
          </m:r>
          <m:r>
            <m:t>)</m:t>
          </m:r>
          <m:r>
            <m:t>≤</m:t>
          </m:r>
          <m:nary>
            <m:naryPr>
              <m:chr m:val="∑"/>
              <m:limLoc m:val="undOvr"/>
              <m:subHide m:val="0"/>
              <m:supHide m:val="1"/>
            </m:naryPr>
            <m:sub>
              <m:sSub>
                <m:e>
                  <m:r>
                    <m:rPr>
                      <m:sty m:val="b"/>
                    </m:rPr>
                    <m:t>v</m:t>
                  </m:r>
                </m:e>
                <m:sub>
                  <m:r>
                    <m:t>k</m:t>
                  </m:r>
                </m:sub>
              </m:sSub>
              <m:r>
                <m:t>∈</m:t>
              </m:r>
              <m:r>
                <m:t>V</m:t>
              </m:r>
              <m:r>
                <m:t>(</m:t>
              </m:r>
              <m:r>
                <m:t>Γ</m:t>
              </m:r>
              <m:r>
                <m:t>)</m:t>
              </m:r>
            </m:sub>
            <m:sup/>
            <m:e>
              <m:sSub>
                <m:e>
                  <m:r>
                    <m:t>τ</m:t>
                  </m:r>
                </m:e>
                <m:sub>
                  <m:r>
                    <m:t>1</m:t>
                  </m:r>
                </m:sub>
              </m:sSub>
            </m:e>
          </m:nary>
          <m:r>
            <m:t>(</m:t>
          </m:r>
          <m:sSub>
            <m:e>
              <m:r>
                <m:rPr>
                  <m:sty m:val="b"/>
                </m:rPr>
                <m:t>v</m:t>
              </m:r>
            </m:e>
            <m:sub>
              <m:r>
                <m:t>k</m:t>
              </m:r>
            </m:sub>
          </m:sSub>
          <m:r>
            <m:t>,</m:t>
          </m:r>
          <m:r>
            <m:t>t</m:t>
          </m:r>
          <m:r>
            <m:t>)</m:t>
          </m:r>
          <m:sSub>
            <m:e>
              <m:r>
                <m:t>f</m:t>
              </m:r>
            </m:e>
            <m:sub>
              <m:r>
                <m:t>τ</m:t>
              </m:r>
            </m:sub>
          </m:sSub>
          <m:r>
            <m:t>(</m:t>
          </m:r>
          <m:sSub>
            <m:e>
              <m:r>
                <m:rPr>
                  <m:sty m:val="b"/>
                </m:rPr>
                <m:t>v</m:t>
              </m:r>
            </m:e>
            <m:sub>
              <m:r>
                <m:t>k</m:t>
              </m:r>
            </m:sub>
          </m:sSub>
          <m:r>
            <m:t>,</m:t>
          </m:r>
          <m:r>
            <m:t>t</m:t>
          </m:r>
          <m:r>
            <m:t>)</m:t>
          </m:r>
          <m:r>
            <m:t>≤</m:t>
          </m:r>
          <m:f>
            <m:fPr>
              <m:type m:val="bar"/>
            </m:fPr>
            <m:num>
              <m:r>
                <m:t>1</m:t>
              </m:r>
            </m:num>
            <m:den>
              <m:r>
                <m:t>2</m:t>
              </m:r>
            </m:den>
          </m:f>
          <m:r>
            <m:t> </m:t>
          </m:r>
          <m:r>
            <m:t>|</m:t>
          </m:r>
          <m:sSub>
            <m:e>
              <m:r>
                <m:t>τ</m:t>
              </m:r>
            </m:e>
            <m:sub>
              <m:r>
                <m:t>1</m:t>
              </m:r>
            </m:sub>
          </m:sSub>
          <m:r>
            <m:t>(</m:t>
          </m:r>
          <m:r>
            <m:t>⋅</m:t>
          </m:r>
          <m:r>
            <m:t>,</m:t>
          </m:r>
          <m:r>
            <m:t>t</m:t>
          </m:r>
          <m:r>
            <m:t>)</m:t>
          </m:r>
          <m:sSup>
            <m:e>
              <m:r>
                <m:t>|</m:t>
              </m:r>
            </m:e>
            <m:sup>
              <m:r>
                <m:t>2</m:t>
              </m:r>
            </m:sup>
          </m:sSup>
          <m:r>
            <m:t>+</m:t>
          </m:r>
          <m:f>
            <m:fPr>
              <m:type m:val="bar"/>
            </m:fPr>
            <m:num>
              <m:r>
                <m:t>1</m:t>
              </m:r>
            </m:num>
            <m:den>
              <m:r>
                <m:t>2</m:t>
              </m:r>
            </m:den>
          </m:f>
          <m:r>
            <m:t> </m:t>
          </m:r>
          <m:r>
            <m:t>|</m:t>
          </m:r>
          <m:sSub>
            <m:e>
              <m:r>
                <m:t>f</m:t>
              </m:r>
            </m:e>
            <m:sub>
              <m:r>
                <m:t>τ</m:t>
              </m:r>
            </m:sub>
          </m:sSub>
          <m:r>
            <m:t>(</m:t>
          </m:r>
          <m:r>
            <m:t>⋅</m:t>
          </m:r>
          <m:r>
            <m:t>)</m:t>
          </m:r>
          <m:sSup>
            <m:e>
              <m:r>
                <m:t>|</m:t>
              </m:r>
            </m:e>
            <m:sup>
              <m:r>
                <m:t>2</m:t>
              </m:r>
            </m:sup>
          </m:sSup>
          <m:r>
            <m:t>,</m:t>
          </m:r>
        </m:oMath>
      </m:oMathPara>
    </w:p>
    <w:p>
      <w:pPr>
        <w:pStyle w:val="FirstParagraph"/>
      </w:pPr>
      <w:r>
        <w:t xml:space="preserve">and, eventually</w:t>
      </w:r>
    </w:p>
    <w:p>
      <w:pPr>
        <w:pStyle w:val="BodyText"/>
      </w:pPr>
      <m:oMathPara>
        <m:oMathParaPr>
          <m:jc m:val="center"/>
        </m:oMathParaPr>
        <m:oMath>
          <m:r>
            <m:t>|</m:t>
          </m:r>
          <m:sSub>
            <m:e>
              <m:r>
                <m:t>τ</m:t>
              </m:r>
            </m:e>
            <m:sub>
              <m:r>
                <m:t>1</m:t>
              </m:r>
            </m:sub>
          </m:sSub>
          <m:r>
            <m:t>(</m:t>
          </m:r>
          <m:r>
            <m:t>⋅</m:t>
          </m:r>
          <m:r>
            <m:t>,</m:t>
          </m:r>
          <m:r>
            <m:t>t</m:t>
          </m:r>
          <m:r>
            <m:t>)</m:t>
          </m:r>
          <m:sSup>
            <m:e>
              <m:r>
                <m:t>|</m:t>
              </m:r>
            </m:e>
            <m:sup>
              <m:r>
                <m:t>2</m:t>
              </m:r>
            </m:sup>
          </m:sSup>
          <m:r>
            <m:t>≤</m:t>
          </m:r>
          <m:r>
            <m:t>|</m:t>
          </m:r>
          <m:sSub>
            <m:e>
              <m:r>
                <m:t>τ</m:t>
              </m:r>
            </m:e>
            <m:sub>
              <m:r>
                <m:t>1</m:t>
              </m:r>
            </m:sub>
          </m:sSub>
          <m:r>
            <m:t>(</m:t>
          </m:r>
          <m:r>
            <m:t>⋅</m:t>
          </m:r>
          <m:r>
            <m:t>,</m:t>
          </m:r>
          <m:sSub>
            <m:e>
              <m:r>
                <m:t>t</m:t>
              </m:r>
            </m:e>
            <m:sub>
              <m:r>
                <m:t>0</m:t>
              </m:r>
            </m:sub>
          </m:sSub>
          <m:r>
            <m:t>)</m:t>
          </m:r>
          <m:sSup>
            <m:e>
              <m:r>
                <m:t>|</m:t>
              </m:r>
            </m:e>
            <m:sup>
              <m:r>
                <m:t>2</m:t>
              </m:r>
            </m:sup>
          </m:sSup>
          <m:r>
            <m:t>+</m:t>
          </m:r>
          <m:nary>
            <m:naryPr>
              <m:chr m:val="∫"/>
              <m:limLoc m:val="subSup"/>
              <m:subHide m:val="0"/>
              <m:supHide m:val="0"/>
            </m:naryPr>
            <m:sub>
              <m:sSub>
                <m:e>
                  <m:r>
                    <m:t>t</m:t>
                  </m:r>
                </m:e>
                <m:sub>
                  <m:r>
                    <m:t>0</m:t>
                  </m:r>
                </m:sub>
              </m:sSub>
            </m:sub>
            <m:sup>
              <m:r>
                <m:t>t</m:t>
              </m:r>
            </m:sup>
            <m:e>
              <m:r>
                <m:t>|</m:t>
              </m:r>
            </m:e>
          </m:nary>
          <m:sSub>
            <m:e>
              <m:r>
                <m:t>f</m:t>
              </m:r>
            </m:e>
            <m:sub>
              <m:r>
                <m:t>τ</m:t>
              </m:r>
            </m:sub>
          </m:sSub>
          <m:r>
            <m:t>(</m:t>
          </m:r>
          <m:r>
            <m:t>⋅</m:t>
          </m:r>
          <m:r>
            <m:t>,</m:t>
          </m:r>
          <m:r>
            <m:t>s</m:t>
          </m:r>
          <m:r>
            <m:t>)</m:t>
          </m:r>
          <m:sSup>
            <m:e>
              <m:r>
                <m:t>|</m:t>
              </m:r>
            </m:e>
            <m:sup>
              <m:r>
                <m:t>2</m:t>
              </m:r>
            </m:sup>
          </m:sSup>
          <m:r>
            <m:t> </m:t>
          </m:r>
          <m:r>
            <m:t>d</m:t>
          </m:r>
          <m:r>
            <m:t>s</m:t>
          </m:r>
          <m:r>
            <m:t>+</m:t>
          </m:r>
          <m:nary>
            <m:naryPr>
              <m:chr m:val="∫"/>
              <m:limLoc m:val="subSup"/>
              <m:subHide m:val="0"/>
              <m:supHide m:val="0"/>
            </m:naryPr>
            <m:sub>
              <m:sSub>
                <m:e>
                  <m:r>
                    <m:t>t</m:t>
                  </m:r>
                </m:e>
                <m:sub>
                  <m:r>
                    <m:t>0</m:t>
                  </m:r>
                </m:sub>
              </m:sSub>
            </m:sub>
            <m:sup>
              <m:r>
                <m:t>t</m:t>
              </m:r>
            </m:sup>
            <m:e>
              <m:r>
                <m:t>|</m:t>
              </m:r>
            </m:e>
          </m:nary>
          <m:sSub>
            <m:e>
              <m:r>
                <m:t>τ</m:t>
              </m:r>
            </m:e>
            <m:sub>
              <m:r>
                <m:t>1</m:t>
              </m:r>
            </m:sub>
          </m:sSub>
          <m:r>
            <m:t>(</m:t>
          </m:r>
          <m:r>
            <m:t>⋅</m:t>
          </m:r>
          <m:r>
            <m:t>,</m:t>
          </m:r>
          <m:r>
            <m:t>s</m:t>
          </m:r>
          <m:r>
            <m:t>)</m:t>
          </m:r>
          <m:sSup>
            <m:e>
              <m:r>
                <m:t>|</m:t>
              </m:r>
            </m:e>
            <m:sup>
              <m:r>
                <m:t>2</m:t>
              </m:r>
            </m:sup>
          </m:sSup>
          <m:r>
            <m:t> </m:t>
          </m:r>
          <m:r>
            <m:t>d</m:t>
          </m:r>
          <m:r>
            <m:t>s</m:t>
          </m:r>
        </m:oMath>
      </m:oMathPara>
    </w:p>
    <w:p>
      <w:pPr>
        <w:pStyle w:val="FirstParagraph"/>
      </w:pPr>
      <w:r>
        <w:t xml:space="preserve">for</w:t>
      </w:r>
      <w:r>
        <w:t xml:space="preserve"> </w:t>
      </w:r>
      <m:oMath>
        <m:sSub>
          <m:e>
            <m:r>
              <m:t>t</m:t>
            </m:r>
          </m:e>
          <m:sub>
            <m:r>
              <m:t>0</m:t>
            </m:r>
          </m:sub>
        </m:sSub>
        <m:r>
          <m:t>&lt;</m:t>
        </m:r>
        <m:r>
          <m:t>t</m:t>
        </m:r>
        <m:r>
          <m:t>&lt;</m:t>
        </m:r>
        <m:sSub>
          <m:e>
            <m:r>
              <m:t>t</m:t>
            </m:r>
          </m:e>
          <m:sub>
            <m:r>
              <m:t>m</m:t>
            </m:r>
            <m:r>
              <m:t>a</m:t>
            </m:r>
            <m:r>
              <m:t>x</m:t>
            </m:r>
          </m:sub>
        </m:sSub>
      </m:oMath>
      <w:r>
        <w:t xml:space="preserve">. By Gronwall inequality (see e.g. (Hartman 1964), Theorem 1.1) it follows eventually that</w:t>
      </w:r>
    </w:p>
    <w:p>
      <w:pPr>
        <w:pStyle w:val="BodyText"/>
      </w:pPr>
      <m:oMathPara>
        <m:oMathParaPr>
          <m:jc m:val="center"/>
        </m:oMathParaPr>
        <m:oMath>
          <m:r>
            <m:t>|</m:t>
          </m:r>
          <m:sSub>
            <m:e>
              <m:r>
                <m:t>τ</m:t>
              </m:r>
            </m:e>
            <m:sub>
              <m:r>
                <m:t>1</m:t>
              </m:r>
            </m:sub>
          </m:sSub>
          <m:r>
            <m:t>(</m:t>
          </m:r>
          <m:r>
            <m:t>⋅</m:t>
          </m:r>
          <m:r>
            <m:t>,</m:t>
          </m:r>
          <m:r>
            <m:t>t</m:t>
          </m:r>
          <m:r>
            <m:t>)</m:t>
          </m:r>
          <m:sSup>
            <m:e>
              <m:r>
                <m:t>|</m:t>
              </m:r>
            </m:e>
            <m:sup>
              <m:r>
                <m:t>2</m:t>
              </m:r>
            </m:sup>
          </m:sSup>
          <m:r>
            <m:t>≤</m:t>
          </m:r>
          <m:r>
            <m:t>(</m:t>
          </m:r>
          <m:r>
            <m:t>|</m:t>
          </m:r>
          <m:sSub>
            <m:e>
              <m:r>
                <m:t>τ</m:t>
              </m:r>
            </m:e>
            <m:sub>
              <m:r>
                <m:t>1</m:t>
              </m:r>
            </m:sub>
          </m:sSub>
          <m:r>
            <m:t>(</m:t>
          </m:r>
          <m:r>
            <m:t>⋅</m:t>
          </m:r>
          <m:r>
            <m:t>,</m:t>
          </m:r>
          <m:sSub>
            <m:e>
              <m:r>
                <m:t>t</m:t>
              </m:r>
            </m:e>
            <m:sub>
              <m:r>
                <m:t>0</m:t>
              </m:r>
            </m:sub>
          </m:sSub>
          <m:r>
            <m:t>,</m:t>
          </m:r>
          <m:r>
            <m:t>)</m:t>
          </m:r>
          <m:sSup>
            <m:e>
              <m:r>
                <m:t>|</m:t>
              </m:r>
            </m:e>
            <m:sup>
              <m:r>
                <m:t>2</m:t>
              </m:r>
            </m:sup>
          </m:sSup>
          <m:r>
            <m:t>+</m:t>
          </m:r>
          <m:r>
            <m:t>(</m:t>
          </m:r>
          <m:sSub>
            <m:e>
              <m:r>
                <m:t>t</m:t>
              </m:r>
            </m:e>
            <m:sub>
              <m:r>
                <m:t>m</m:t>
              </m:r>
              <m:r>
                <m:t>a</m:t>
              </m:r>
              <m:r>
                <m:t>x</m:t>
              </m:r>
            </m:sub>
          </m:sSub>
          <m:r>
            <m:t>−</m:t>
          </m:r>
          <m:sSub>
            <m:e>
              <m:r>
                <m:t>t</m:t>
              </m:r>
            </m:e>
            <m:sub>
              <m:r>
                <m:t>0</m:t>
              </m:r>
            </m:sub>
          </m:sSub>
          <m:r>
            <m:t>)</m:t>
          </m:r>
          <m:r>
            <m:t> </m:t>
          </m:r>
          <m:limLow>
            <m:e>
              <m:r>
                <m:rPr>
                  <m:sty m:val="p"/>
                </m:rPr>
                <m:t>max</m:t>
              </m:r>
            </m:e>
            <m:lim>
              <m:sSub>
                <m:e>
                  <m:r>
                    <m:t>t</m:t>
                  </m:r>
                </m:e>
                <m:sub>
                  <m:r>
                    <m:t>0</m:t>
                  </m:r>
                </m:sub>
              </m:sSub>
              <m:r>
                <m:t>≤</m:t>
              </m:r>
              <m:r>
                <m:t>s</m:t>
              </m:r>
              <m:r>
                <m:t>≤</m:t>
              </m:r>
              <m:sSub>
                <m:e>
                  <m:r>
                    <m:t>t</m:t>
                  </m:r>
                </m:e>
                <m:sub>
                  <m:r>
                    <m:rPr>
                      <m:sty m:val="p"/>
                    </m:rPr>
                    <m:t>m</m:t>
                  </m:r>
                  <m:r>
                    <m:rPr>
                      <m:sty m:val="p"/>
                    </m:rPr>
                    <m:t>a</m:t>
                  </m:r>
                  <m:r>
                    <m:rPr>
                      <m:sty m:val="p"/>
                    </m:rPr>
                    <m:t>x</m:t>
                  </m:r>
                </m:sub>
              </m:sSub>
            </m:lim>
          </m:limLow>
          <m:r>
            <m:t>|</m:t>
          </m:r>
          <m:sSub>
            <m:e>
              <m:r>
                <m:t>f</m:t>
              </m:r>
            </m:e>
            <m:sub>
              <m:r>
                <m:t>τ</m:t>
              </m:r>
            </m:sub>
          </m:sSub>
          <m:r>
            <m:t>(</m:t>
          </m:r>
          <m:r>
            <m:t>⋅</m:t>
          </m:r>
          <m:r>
            <m:t>,</m:t>
          </m:r>
          <m:r>
            <m:t>s</m:t>
          </m:r>
          <m:r>
            <m:t>)</m:t>
          </m:r>
          <m:sSup>
            <m:e>
              <m:r>
                <m:t>|</m:t>
              </m:r>
            </m:e>
            <m:sup>
              <m:r>
                <m:t>2</m:t>
              </m:r>
            </m:sup>
          </m:sSup>
          <m:r>
            <m:t>)</m:t>
          </m:r>
          <m:r>
            <m:t>(</m:t>
          </m:r>
          <m:r>
            <m:t>1</m:t>
          </m:r>
          <m:r>
            <m:t>+</m:t>
          </m:r>
          <m:nary>
            <m:naryPr>
              <m:chr m:val="∫"/>
              <m:limLoc m:val="subSup"/>
              <m:subHide m:val="0"/>
              <m:supHide m:val="0"/>
            </m:naryPr>
            <m:sub>
              <m:sSub>
                <m:e>
                  <m:r>
                    <m:t>t</m:t>
                  </m:r>
                </m:e>
                <m:sub>
                  <m:r>
                    <m:t>0</m:t>
                  </m:r>
                </m:sub>
              </m:sSub>
            </m:sub>
            <m:sup>
              <m:r>
                <m:t>t</m:t>
              </m:r>
            </m:sup>
            <m:e>
              <m:r>
                <m:rPr>
                  <m:sty m:val="p"/>
                </m:rPr>
                <m:t>exp</m:t>
              </m:r>
            </m:e>
          </m:nary>
          <m:r>
            <m:t>(</m:t>
          </m:r>
          <m:r>
            <m:t>s</m:t>
          </m:r>
          <m:r>
            <m:t>−</m:t>
          </m:r>
          <m:sSub>
            <m:e>
              <m:r>
                <m:t>t</m:t>
              </m:r>
            </m:e>
            <m:sub>
              <m:r>
                <m:t>0</m:t>
              </m:r>
            </m:sub>
          </m:sSub>
          <m:r>
            <m:t>)</m:t>
          </m:r>
          <m:r>
            <m:t> </m:t>
          </m:r>
          <m:r>
            <m:t>d</m:t>
          </m:r>
          <m:r>
            <m:t>s</m:t>
          </m:r>
          <m:r>
            <m:t>)</m:t>
          </m:r>
          <m:r>
            <m:t>.</m:t>
          </m:r>
        </m:oMath>
      </m:oMathPara>
    </w:p>
    <w:p>
      <w:pPr>
        <w:pStyle w:val="FirstParagraph"/>
      </w:pPr>
      <w:r>
        <w:t xml:space="preserve">This proves that</w:t>
      </w:r>
      <w:r>
        <w:t xml:space="preserve"> </w:t>
      </w:r>
      <m:oMath>
        <m:sSub>
          <m:e>
            <m:r>
              <m:t>τ</m:t>
            </m:r>
          </m:e>
          <m:sub>
            <m:r>
              <m:t>1</m:t>
            </m:r>
          </m:sub>
        </m:sSub>
        <m:r>
          <m:t>(</m:t>
        </m:r>
        <m:r>
          <m:t>t</m:t>
        </m:r>
        <m:r>
          <m:t>,</m:t>
        </m:r>
        <m:r>
          <m:t>⋅</m:t>
        </m:r>
        <m:r>
          <m:t>)</m:t>
        </m:r>
      </m:oMath>
      <w:r>
        <w:t xml:space="preserve"> </w:t>
      </w:r>
      <w:r>
        <w:t xml:space="preserve">is bounded in</w:t>
      </w:r>
      <w:r>
        <w:t xml:space="preserve"> </w:t>
      </w:r>
      <m:oMath>
        <m:r>
          <m:t>[</m:t>
        </m:r>
        <m:sSub>
          <m:e>
            <m:r>
              <m:t>t</m:t>
            </m:r>
          </m:e>
          <m:sub>
            <m:r>
              <m:t>0</m:t>
            </m:r>
          </m:sub>
        </m:sSub>
        <m:r>
          <m:t>,</m:t>
        </m:r>
        <m:sSub>
          <m:e>
            <m:r>
              <m:t>t</m:t>
            </m:r>
          </m:e>
          <m:sub>
            <m:r>
              <m:t>m</m:t>
            </m:r>
            <m:r>
              <m:t>a</m:t>
            </m:r>
            <m:r>
              <m:t>x</m:t>
            </m:r>
          </m:sub>
        </m:sSub>
        <m:r>
          <m:t>)</m:t>
        </m:r>
      </m:oMath>
      <w:r>
        <w:t xml:space="preserve">.</w:t>
      </w:r>
    </w:p>
    <w:p>
      <w:pPr>
        <w:pStyle w:val="BodyText"/>
      </w:pPr>
      <w:r>
        <w:t xml:space="preserve">We want to prove now that for</w:t>
      </w:r>
      <w:r>
        <w:t xml:space="preserve"> </w:t>
      </w:r>
      <m:oMath>
        <m:r>
          <m:t>1</m:t>
        </m:r>
        <m:r>
          <m:t>≤</m:t>
        </m:r>
        <m:r>
          <m:t>m</m:t>
        </m:r>
        <m:r>
          <m:t>≤</m:t>
        </m:r>
        <m:r>
          <m:t>M</m:t>
        </m:r>
      </m:oMath>
      <w:r>
        <w:t xml:space="preserve"> </w:t>
      </w:r>
      <w:r>
        <w:t xml:space="preserve">there exists</w:t>
      </w:r>
      <w:r>
        <w:t xml:space="preserve"> </w:t>
      </w:r>
      <m:oMath>
        <m:sSub>
          <m:e>
            <m:r>
              <m:t>C</m:t>
            </m:r>
          </m:e>
          <m:sub>
            <m:r>
              <m:t>m</m:t>
            </m:r>
          </m:sub>
        </m:sSub>
      </m:oMath>
      <w:r>
        <w:t xml:space="preserve"> </w:t>
      </w:r>
      <w:r>
        <w:t xml:space="preserve">such that</w:t>
      </w:r>
    </w:p>
    <w:p>
      <w:pPr>
        <w:pStyle w:val="BodyText"/>
      </w:pPr>
      <w:r>
        <w:t xml:space="preserve">$$|\tau_m(\cdot,t)| \le C_m  \  \rm{for \ } t_0&lt;t&lt;t_{max}.$$</w:t>
      </w:r>
    </w:p>
    <w:p>
      <w:pPr>
        <w:pStyle w:val="FirstParagraph"/>
      </w:pPr>
      <w:r>
        <w:t xml:space="preserve">If</w:t>
      </w:r>
      <w:r>
        <w:t xml:space="preserve"> </w:t>
      </w:r>
      <m:oMath>
        <m:r>
          <m:t>m</m:t>
        </m:r>
        <m:r>
          <m:t>=</m:t>
        </m:r>
        <m:r>
          <m:t>1</m:t>
        </m:r>
      </m:oMath>
      <w:r>
        <w:t xml:space="preserve"> </w:t>
      </w:r>
      <w:r>
        <w:t xml:space="preserve">assertion has been just proved. Take</w:t>
      </w:r>
      <w:r>
        <w:t xml:space="preserve"> </w:t>
      </w:r>
      <m:oMath>
        <m:r>
          <m:t>1</m:t>
        </m:r>
        <m:r>
          <m:t>&lt;</m:t>
        </m:r>
        <m:r>
          <m:t>m</m:t>
        </m:r>
        <m:r>
          <m:t>&lt;</m:t>
        </m:r>
        <m:r>
          <m:t>M</m:t>
        </m:r>
      </m:oMath>
      <w:r>
        <w:t xml:space="preserve"> </w:t>
      </w:r>
      <w:r>
        <w:t xml:space="preserve">and suppose</w:t>
      </w:r>
      <w:r>
        <w:t xml:space="preserve"> </w:t>
      </w:r>
      <w:r>
        <w:t xml:space="preserve">holds for</w:t>
      </w:r>
      <w:r>
        <w:t xml:space="preserve"> </w:t>
      </w:r>
      <m:oMath>
        <m:r>
          <m:t>m</m:t>
        </m:r>
        <m:r>
          <m:t>−</m:t>
        </m:r>
        <m:r>
          <m:t>1</m:t>
        </m:r>
      </m:oMath>
      <w:r>
        <w:t xml:space="preserve">. If</w:t>
      </w:r>
      <w:r>
        <w:t xml:space="preserve"> </w:t>
      </w:r>
      <m:oMath>
        <m:sSub>
          <m:e>
            <m:r>
              <m:rPr>
                <m:sty m:val="b"/>
              </m:rPr>
              <m:t>v</m:t>
            </m:r>
          </m:e>
          <m:sub>
            <m:r>
              <m:t>k</m:t>
            </m:r>
          </m:sub>
        </m:sSub>
        <m:r>
          <m:t>∈</m:t>
        </m:r>
        <m:r>
          <m:t>V</m:t>
        </m:r>
        <m:r>
          <m:t>(</m:t>
        </m:r>
        <m:r>
          <m:t>Γ</m:t>
        </m:r>
        <m:r>
          <m:t>)</m:t>
        </m:r>
      </m:oMath>
      <w:r>
        <w:t xml:space="preserve"> </w:t>
      </w:r>
      <w:r>
        <w:t xml:space="preserve">is fixed, by Lemma 1, we have</w:t>
      </w:r>
    </w:p>
    <w:p>
      <w:pPr>
        <w:pStyle w:val="BodyText"/>
      </w:pPr>
      <m:oMathPara>
        <m:oMathParaPr>
          <m:jc m:val="center"/>
        </m:oMathParaPr>
        <m:oMath>
          <m:f>
            <m:fPr>
              <m:type m:val="bar"/>
            </m:fPr>
            <m:num>
              <m:r>
                <m:t>∂</m:t>
              </m:r>
              <m:sSub>
                <m:e>
                  <m:r>
                    <m:t>τ</m:t>
                  </m:r>
                </m:e>
                <m:sub>
                  <m:r>
                    <m:t>m</m:t>
                  </m:r>
                </m:sub>
              </m:sSub>
            </m:num>
            <m:den>
              <m:r>
                <m:t>∂</m:t>
              </m:r>
              <m:r>
                <m:t>t</m:t>
              </m:r>
            </m:den>
          </m:f>
          <m:r>
            <m:t>(</m:t>
          </m:r>
          <m:sSub>
            <m:e>
              <m:r>
                <m:rPr>
                  <m:sty m:val="b"/>
                </m:rPr>
                <m:t>v</m:t>
              </m:r>
            </m:e>
            <m:sub>
              <m:r>
                <m:t>k</m:t>
              </m:r>
            </m:sub>
          </m:sSub>
          <m:r>
            <m:t>,</m:t>
          </m:r>
          <m:r>
            <m:t>t</m:t>
          </m:r>
          <m:r>
            <m:t>)</m:t>
          </m:r>
          <m:r>
            <m:t>≤</m:t>
          </m:r>
          <m:r>
            <m:t>−</m:t>
          </m:r>
          <m:sSub>
            <m:e>
              <m:r>
                <m:t>d</m:t>
              </m:r>
            </m:e>
            <m:sub>
              <m:r>
                <m:t>m</m:t>
              </m:r>
            </m:sub>
          </m:sSub>
          <m:sSub>
            <m:e>
              <m:r>
                <m:t>Δ</m:t>
              </m:r>
            </m:e>
            <m:sub>
              <m:r>
                <m:t>Γ</m:t>
              </m:r>
            </m:sub>
          </m:sSub>
          <m:sSub>
            <m:e>
              <m:r>
                <m:t>τ</m:t>
              </m:r>
            </m:e>
            <m:sub>
              <m:r>
                <m:t>m</m:t>
              </m:r>
            </m:sub>
          </m:sSub>
          <m:r>
            <m:t>(</m:t>
          </m:r>
          <m:sSub>
            <m:e>
              <m:r>
                <m:rPr>
                  <m:sty m:val="b"/>
                </m:rPr>
                <m:t>v</m:t>
              </m:r>
            </m:e>
            <m:sub>
              <m:r>
                <m:t>k</m:t>
              </m:r>
            </m:sub>
          </m:sSub>
          <m:r>
            <m:t>,</m:t>
          </m:r>
          <m:r>
            <m:t>t</m:t>
          </m:r>
          <m:r>
            <m:t>)</m:t>
          </m:r>
          <m:r>
            <m:t>+</m:t>
          </m:r>
          <m:f>
            <m:fPr>
              <m:type m:val="bar"/>
            </m:fPr>
            <m:num>
              <m:r>
                <m:t>1</m:t>
              </m:r>
            </m:num>
            <m:den>
              <m:r>
                <m:t>2</m:t>
              </m:r>
            </m:den>
          </m:f>
          <m:nary>
            <m:naryPr>
              <m:chr m:val="∑"/>
              <m:limLoc m:val="undOvr"/>
              <m:subHide m:val="0"/>
              <m:supHide m:val="0"/>
            </m:naryPr>
            <m:sub>
              <m:r>
                <m:t>j</m:t>
              </m:r>
              <m:r>
                <m:t>=</m:t>
              </m:r>
              <m:r>
                <m:t>1</m:t>
              </m:r>
            </m:sub>
            <m:sup>
              <m:r>
                <m:t>m</m:t>
              </m:r>
              <m:r>
                <m:t>−</m:t>
              </m:r>
              <m:r>
                <m:t>1</m:t>
              </m:r>
            </m:sup>
            <m:e>
              <m:sSub>
                <m:e>
                  <m:r>
                    <m:t>a</m:t>
                  </m:r>
                </m:e>
                <m:sub>
                  <m:r>
                    <m:t>j</m:t>
                  </m:r>
                  <m:r>
                    <m:t>,</m:t>
                  </m:r>
                  <m:r>
                    <m:t>m</m:t>
                  </m:r>
                  <m:r>
                    <m:t>−</m:t>
                  </m:r>
                  <m:r>
                    <m:t>j</m:t>
                  </m:r>
                </m:sub>
              </m:sSub>
            </m:e>
          </m:nary>
          <m:sSub>
            <m:e>
              <m:r>
                <m:t>τ</m:t>
              </m:r>
            </m:e>
            <m:sub>
              <m:r>
                <m:t>j</m:t>
              </m:r>
            </m:sub>
          </m:sSub>
          <m:r>
            <m:t>(</m:t>
          </m:r>
          <m:sSub>
            <m:e>
              <m:r>
                <m:rPr>
                  <m:sty m:val="b"/>
                </m:rPr>
                <m:t>v</m:t>
              </m:r>
            </m:e>
            <m:sub>
              <m:r>
                <m:t>k</m:t>
              </m:r>
            </m:sub>
          </m:sSub>
          <m:r>
            <m:t>,</m:t>
          </m:r>
          <m:r>
            <m:t>t</m:t>
          </m:r>
          <m:r>
            <m:t>)</m:t>
          </m:r>
          <m:sSub>
            <m:e>
              <m:r>
                <m:t>τ</m:t>
              </m:r>
            </m:e>
            <m:sub>
              <m:r>
                <m:t>m</m:t>
              </m:r>
              <m:r>
                <m:t>−</m:t>
              </m:r>
              <m:r>
                <m:t>j</m:t>
              </m:r>
            </m:sub>
          </m:sSub>
          <m:r>
            <m:t>(</m:t>
          </m:r>
          <m:sSub>
            <m:e>
              <m:r>
                <m:rPr>
                  <m:sty m:val="b"/>
                </m:rPr>
                <m:t>v</m:t>
              </m:r>
            </m:e>
            <m:sub>
              <m:r>
                <m:t>k</m:t>
              </m:r>
            </m:sub>
          </m:sSub>
          <m:r>
            <m:t>,</m:t>
          </m:r>
          <m:r>
            <m:t>t</m:t>
          </m:r>
          <m:r>
            <m:t>)</m:t>
          </m:r>
          <m:r>
            <m:t>.</m:t>
          </m:r>
        </m:oMath>
      </m:oMathPara>
    </w:p>
    <w:p>
      <w:pPr>
        <w:pStyle w:val="FirstParagraph"/>
      </w:pPr>
      <w:r>
        <w:t xml:space="preserve">Again by Lemma 1 we can multiply the previous inequality by</w:t>
      </w:r>
      <w:r>
        <w:t xml:space="preserve"> </w:t>
      </w:r>
      <m:oMath>
        <m:sSub>
          <m:e>
            <m:r>
              <m:t>τ</m:t>
            </m:r>
          </m:e>
          <m:sub>
            <m:r>
              <m:t>m</m:t>
            </m:r>
          </m:sub>
        </m:sSub>
        <m:r>
          <m:t>(</m:t>
        </m:r>
        <m:sSub>
          <m:e>
            <m:r>
              <m:rPr>
                <m:sty m:val="b"/>
              </m:rPr>
              <m:t>v</m:t>
            </m:r>
          </m:e>
          <m:sub>
            <m:r>
              <m:t>k</m:t>
            </m:r>
          </m:sub>
        </m:sSub>
        <m:r>
          <m:t>,</m:t>
        </m:r>
        <m:r>
          <m:t>t</m:t>
        </m:r>
        <m:r>
          <m:t>)</m:t>
        </m:r>
      </m:oMath>
      <w:r>
        <w:t xml:space="preserve">.</w:t>
      </w:r>
      <w:r>
        <w:t xml:space="preserve"> </w:t>
      </w:r>
      <w:r>
        <w:t xml:space="preserve">Summing up over all</w:t>
      </w:r>
      <w:r>
        <w:t xml:space="preserve"> </w:t>
      </w:r>
      <m:oMath>
        <m:sSub>
          <m:e>
            <m:r>
              <m:rPr>
                <m:sty m:val="b"/>
              </m:rPr>
              <m:t>v</m:t>
            </m:r>
          </m:e>
          <m:sub>
            <m:r>
              <m:t>k</m:t>
            </m:r>
          </m:sub>
        </m:sSub>
        <m:r>
          <m:t>∈</m:t>
        </m:r>
        <m:r>
          <m:t>V</m:t>
        </m:r>
        <m:r>
          <m:t>(</m:t>
        </m:r>
        <m:r>
          <m:t>Γ</m:t>
        </m:r>
        <m:r>
          <m:t>)</m:t>
        </m:r>
      </m:oMath>
      <w:r>
        <w:t xml:space="preserve">, by the inductive hypothesis we get</w:t>
      </w:r>
    </w:p>
    <w:p>
      <w:pPr>
        <w:pStyle w:val="BodyText"/>
      </w:pPr>
      <m:oMathPara>
        <m:oMathParaPr>
          <m:jc m:val="center"/>
        </m:oMathParaPr>
        <m:oMath>
          <m:f>
            <m:fPr>
              <m:type m:val="bar"/>
            </m:fPr>
            <m:num>
              <m:r>
                <m:t>1</m:t>
              </m:r>
            </m:num>
            <m:den>
              <m:r>
                <m:t>2</m:t>
              </m:r>
            </m:den>
          </m:f>
          <m:r>
            <m:t> </m:t>
          </m:r>
          <m:f>
            <m:fPr>
              <m:type m:val="bar"/>
            </m:fPr>
            <m:num>
              <m:r>
                <m:t>∂</m:t>
              </m:r>
              <m:r>
                <m:t>|</m:t>
              </m:r>
              <m:sSub>
                <m:e>
                  <m:r>
                    <m:t>τ</m:t>
                  </m:r>
                </m:e>
                <m:sub>
                  <m:r>
                    <m:t>m</m:t>
                  </m:r>
                </m:sub>
              </m:sSub>
              <m:r>
                <m:t>(</m:t>
              </m:r>
              <m:r>
                <m:t>⋅</m:t>
              </m:r>
              <m:r>
                <m:t>,</m:t>
              </m:r>
              <m:r>
                <m:t>t</m:t>
              </m:r>
              <m:r>
                <m:t>)</m:t>
              </m:r>
              <m:sSup>
                <m:e>
                  <m:r>
                    <m:t>|</m:t>
                  </m:r>
                </m:e>
                <m:sup>
                  <m:r>
                    <m:t>2</m:t>
                  </m:r>
                </m:sup>
              </m:sSup>
            </m:num>
            <m:den>
              <m:r>
                <m:t>∂</m:t>
              </m:r>
              <m:r>
                <m:t>t</m:t>
              </m:r>
            </m:den>
          </m:f>
          <m:r>
            <m:t>≤</m:t>
          </m:r>
          <m:f>
            <m:fPr>
              <m:type m:val="bar"/>
            </m:fPr>
            <m:num>
              <m:r>
                <m:t>1</m:t>
              </m:r>
            </m:num>
            <m:den>
              <m:r>
                <m:t>2</m:t>
              </m:r>
            </m:den>
          </m:f>
          <m:r>
            <m:t>|</m:t>
          </m:r>
          <m:sSub>
            <m:e>
              <m:r>
                <m:t>τ</m:t>
              </m:r>
            </m:e>
            <m:sub>
              <m:r>
                <m:t>m</m:t>
              </m:r>
            </m:sub>
          </m:sSub>
          <m:r>
            <m:t>(</m:t>
          </m:r>
          <m:r>
            <m:t>⋅</m:t>
          </m:r>
          <m:r>
            <m:t>,</m:t>
          </m:r>
          <m:r>
            <m:t>t</m:t>
          </m:r>
          <m:r>
            <m:t>)</m:t>
          </m:r>
          <m:r>
            <m:t>|</m:t>
          </m:r>
          <m:nary>
            <m:naryPr>
              <m:chr m:val="∑"/>
              <m:limLoc m:val="undOvr"/>
              <m:subHide m:val="0"/>
              <m:supHide m:val="0"/>
            </m:naryPr>
            <m:sub>
              <m:r>
                <m:t>j</m:t>
              </m:r>
              <m:r>
                <m:t>=</m:t>
              </m:r>
              <m:r>
                <m:t>1</m:t>
              </m:r>
            </m:sub>
            <m:sup>
              <m:r>
                <m:t>m</m:t>
              </m:r>
              <m:r>
                <m:t>−</m:t>
              </m:r>
              <m:r>
                <m:t>1</m:t>
              </m:r>
            </m:sup>
            <m:e>
              <m:sSub>
                <m:e>
                  <m:r>
                    <m:t>a</m:t>
                  </m:r>
                </m:e>
                <m:sub>
                  <m:r>
                    <m:t>j</m:t>
                  </m:r>
                  <m:r>
                    <m:t>,</m:t>
                  </m:r>
                  <m:r>
                    <m:t>m</m:t>
                  </m:r>
                  <m:r>
                    <m:t>−</m:t>
                  </m:r>
                  <m:r>
                    <m:t>j</m:t>
                  </m:r>
                </m:sub>
              </m:sSub>
            </m:e>
          </m:nary>
          <m:sSub>
            <m:e>
              <m:r>
                <m:t>C</m:t>
              </m:r>
            </m:e>
            <m:sub>
              <m:r>
                <m:t>j</m:t>
              </m:r>
            </m:sub>
          </m:sSub>
          <m:sSub>
            <m:e>
              <m:r>
                <m:t>C</m:t>
              </m:r>
            </m:e>
            <m:sub>
              <m:r>
                <m:t>m</m:t>
              </m:r>
              <m:r>
                <m:t>−</m:t>
              </m:r>
              <m:r>
                <m:t>j</m:t>
              </m:r>
            </m:sub>
          </m:sSub>
          <m:r>
            <m:t>≤</m:t>
          </m:r>
          <m:f>
            <m:fPr>
              <m:type m:val="bar"/>
            </m:fPr>
            <m:num>
              <m:r>
                <m:t>1</m:t>
              </m:r>
            </m:num>
            <m:den>
              <m:r>
                <m:t>4</m:t>
              </m:r>
            </m:den>
          </m:f>
          <m:r>
            <m:t>|</m:t>
          </m:r>
          <m:sSub>
            <m:e>
              <m:r>
                <m:t>τ</m:t>
              </m:r>
            </m:e>
            <m:sub>
              <m:r>
                <m:t>m</m:t>
              </m:r>
            </m:sub>
          </m:sSub>
          <m:r>
            <m:t>(</m:t>
          </m:r>
          <m:r>
            <m:t>⋅</m:t>
          </m:r>
          <m:r>
            <m:t>,</m:t>
          </m:r>
          <m:r>
            <m:t>t</m:t>
          </m:r>
          <m:r>
            <m:t>)</m:t>
          </m:r>
          <m:sSup>
            <m:e>
              <m:r>
                <m:t>|</m:t>
              </m:r>
            </m:e>
            <m:sup>
              <m:r>
                <m:t>2</m:t>
              </m:r>
            </m:sup>
          </m:sSup>
          <m:r>
            <m:t>+</m:t>
          </m:r>
          <m:r>
            <m:t>C</m:t>
          </m:r>
        </m:oMath>
      </m:oMathPara>
    </w:p>
    <w:p>
      <w:pPr>
        <w:pStyle w:val="FirstParagraph"/>
      </w:pPr>
      <w:r>
        <w:t xml:space="preserve">and follows as in the case</w:t>
      </w:r>
      <w:r>
        <w:t xml:space="preserve"> </w:t>
      </w:r>
      <m:oMath>
        <m:r>
          <m:t>m</m:t>
        </m:r>
        <m:r>
          <m:t>=</m:t>
        </m:r>
        <m:r>
          <m:t>1</m:t>
        </m:r>
      </m:oMath>
      <w:r>
        <w:t xml:space="preserve">.</w:t>
      </w:r>
      <w:r>
        <w:t xml:space="preserve"> </w:t>
      </w:r>
      <w:r>
        <w:t xml:space="preserve">The case</w:t>
      </w:r>
      <w:r>
        <w:t xml:space="preserve"> </w:t>
      </w:r>
      <m:oMath>
        <m:r>
          <m:t>m</m:t>
        </m:r>
        <m:r>
          <m:t>=</m:t>
        </m:r>
        <m:r>
          <m:t>M</m:t>
        </m:r>
      </m:oMath>
      <w:r>
        <w:t xml:space="preserve"> </w:t>
      </w:r>
      <w:r>
        <w:t xml:space="preserve">can be handled in the same way.</w:t>
      </w:r>
      <w:r>
        <w:t xml:space="preserve"> </w:t>
      </w:r>
      <w:r>
        <w:t xml:space="preserve">This achieves the proof of the theorem.</w:t>
      </w:r>
    </w:p>
    <w:p>
      <w:pPr>
        <w:pStyle w:val="BodyText"/>
      </w:pPr>
      <w:r>
        <w:rPr>
          <w:i/>
        </w:rPr>
        <w:t xml:space="preserve">Theorem 2:</w:t>
      </w:r>
      <w:r>
        <w:t xml:space="preserve"> </w:t>
      </w:r>
    </w:p>
    <w:p>
      <w:pPr>
        <w:pStyle w:val="BodyText"/>
      </w:pPr>
      <w:r>
        <w:t xml:space="preserve">Suppose</w:t>
      </w:r>
      <w:r>
        <w:t xml:space="preserve"> </w:t>
      </w:r>
      <m:oMath>
        <m:sSub>
          <m:e>
            <m:r>
              <m:t>τ</m:t>
            </m:r>
          </m:e>
          <m:sub>
            <m:r>
              <m:t>m</m:t>
            </m:r>
          </m:sub>
        </m:sSub>
        <m:r>
          <m:t>(</m:t>
        </m:r>
        <m:sSub>
          <m:e>
            <m:r>
              <m:t>t</m:t>
            </m:r>
          </m:e>
          <m:sub>
            <m:r>
              <m:t>0</m:t>
            </m:r>
          </m:sub>
        </m:sSub>
        <m:r>
          <m:t>,</m:t>
        </m:r>
        <m:sSub>
          <m:e>
            <m:r>
              <m:rPr>
                <m:sty m:val="b"/>
              </m:rPr>
              <m:t>v</m:t>
            </m:r>
          </m:e>
          <m:sub>
            <m:r>
              <m:t>j</m:t>
            </m:r>
          </m:sub>
        </m:sSub>
        <m:r>
          <m:t>)</m:t>
        </m:r>
        <m:r>
          <m:t>≥</m:t>
        </m:r>
        <m:r>
          <m:t>0</m:t>
        </m:r>
      </m:oMath>
      <w:r>
        <w:t xml:space="preserve"> </w:t>
      </w:r>
      <w:r>
        <w:t xml:space="preserve">and</w:t>
      </w:r>
      <w:r>
        <w:t xml:space="preserve"> </w:t>
      </w:r>
      <m:oMath>
        <m:sSub>
          <m:e>
            <m:r>
              <m:t>f</m:t>
            </m:r>
          </m:e>
          <m:sub>
            <m:r>
              <m:t>τ</m:t>
            </m:r>
          </m:sub>
        </m:sSub>
        <m:r>
          <m:t>(</m:t>
        </m:r>
        <m:sSub>
          <m:e>
            <m:r>
              <m:rPr>
                <m:sty m:val="b"/>
              </m:rPr>
              <m:t>v</m:t>
            </m:r>
          </m:e>
          <m:sub>
            <m:r>
              <m:t>j</m:t>
            </m:r>
          </m:sub>
        </m:sSub>
        <m:r>
          <m:t>,</m:t>
        </m:r>
        <m:r>
          <m:t>t</m:t>
        </m:r>
        <m:r>
          <m:t>)</m:t>
        </m:r>
        <m:r>
          <m:t>≥</m:t>
        </m:r>
        <m:r>
          <m:t>0</m:t>
        </m:r>
      </m:oMath>
      <w:r>
        <w:t xml:space="preserve"> </w:t>
      </w:r>
      <w:r>
        <w:t xml:space="preserve">for all</w:t>
      </w:r>
      <w:r>
        <w:t xml:space="preserve"> </w:t>
      </w:r>
      <m:oMath>
        <m:sSub>
          <m:e>
            <m:r>
              <m:rPr>
                <m:sty m:val="b"/>
              </m:rPr>
              <m:t>v</m:t>
            </m:r>
          </m:e>
          <m:sub>
            <m:r>
              <m:t>j</m:t>
            </m:r>
          </m:sub>
        </m:sSub>
        <m:r>
          <m:t>∈</m:t>
        </m:r>
        <m:r>
          <m:t>V</m:t>
        </m:r>
        <m:r>
          <m:t>(</m:t>
        </m:r>
        <m:r>
          <m:t>Γ</m:t>
        </m:r>
        <m:r>
          <m:t>)</m:t>
        </m:r>
      </m:oMath>
      <w:r>
        <w:t xml:space="preserve">,</w:t>
      </w:r>
      <w:r>
        <w:t xml:space="preserve"> </w:t>
      </w:r>
      <m:oMath>
        <m:r>
          <m:t>t</m:t>
        </m:r>
        <m:r>
          <m:t>≥</m:t>
        </m:r>
        <m:r>
          <m:t>0</m:t>
        </m:r>
      </m:oMath>
      <w:r>
        <w:t xml:space="preserve">, and for</w:t>
      </w:r>
      <w:r>
        <w:t xml:space="preserve"> </w:t>
      </w:r>
      <m:oMath>
        <m:r>
          <m:t>1</m:t>
        </m:r>
        <m:r>
          <m:t>≤</m:t>
        </m:r>
        <m:r>
          <m:t>m</m:t>
        </m:r>
        <m:r>
          <m:t>≤</m:t>
        </m:r>
        <m:r>
          <m:t>M</m:t>
        </m:r>
      </m:oMath>
      <w:r>
        <w:t xml:space="preserve">.</w:t>
      </w:r>
      <w:r>
        <w:t xml:space="preserve"> </w:t>
      </w:r>
      <w:r>
        <w:t xml:space="preserve">Then our Cauchy problem for , , admits a solution</w:t>
      </w:r>
    </w:p>
    <w:p>
      <w:pPr>
        <w:pStyle w:val="BodyText"/>
      </w:pPr>
      <w:r>
        <w:t xml:space="preserve">$$\tau=\tau(\mathbf{v},t): V(\Gamma) \times  \mathbb R \rightarrow  \mathbb R^{NM}$$</w:t>
      </w:r>
    </w:p>
    <w:p>
      <w:pPr>
        <w:pStyle w:val="FirstParagraph"/>
      </w:pPr>
      <w:r>
        <w:t xml:space="preserve">such that</w:t>
      </w:r>
      <w:r>
        <w:t xml:space="preserve"> </w:t>
      </w:r>
      <m:oMath>
        <m:sSub>
          <m:e>
            <m:r>
              <m:t>τ</m:t>
            </m:r>
          </m:e>
          <m:sub>
            <m:r>
              <m:t>m</m:t>
            </m:r>
          </m:sub>
        </m:sSub>
        <m:r>
          <m:t>(</m:t>
        </m:r>
        <m:sSub>
          <m:e>
            <m:r>
              <m:rPr>
                <m:sty m:val="b"/>
              </m:rPr>
              <m:t>v</m:t>
            </m:r>
          </m:e>
          <m:sub>
            <m:r>
              <m:t>k</m:t>
            </m:r>
          </m:sub>
        </m:sSub>
        <m:r>
          <m:t>,</m:t>
        </m:r>
        <m:r>
          <m:t>t</m:t>
        </m:r>
        <m:r>
          <m:t>)</m:t>
        </m:r>
        <m:r>
          <m:t>≥</m:t>
        </m:r>
        <m:r>
          <m:t>0</m:t>
        </m:r>
      </m:oMath>
      <w:r>
        <w:t xml:space="preserve"> </w:t>
      </w:r>
      <w:r>
        <w:t xml:space="preserve">for all</w:t>
      </w:r>
      <w:r>
        <w:t xml:space="preserve"> </w:t>
      </w:r>
      <w:r>
        <w:t xml:space="preserve">$t\in\mathbb R$</w:t>
      </w:r>
      <w:r>
        <w:t xml:space="preserve">,</w:t>
      </w:r>
      <w:r>
        <w:t xml:space="preserve"> </w:t>
      </w:r>
      <m:oMath>
        <m:sSub>
          <m:e>
            <m:r>
              <m:rPr>
                <m:sty m:val="b"/>
              </m:rPr>
              <m:t>v</m:t>
            </m:r>
          </m:e>
          <m:sub>
            <m:r>
              <m:t>k</m:t>
            </m:r>
          </m:sub>
        </m:sSub>
        <m:r>
          <m:t>∈</m:t>
        </m:r>
        <m:r>
          <m:t>V</m:t>
        </m:r>
        <m:r>
          <m:t>(</m:t>
        </m:r>
        <m:r>
          <m:t>Γ</m:t>
        </m:r>
        <m:r>
          <m:t>)</m:t>
        </m:r>
      </m:oMath>
      <w:r>
        <w:t xml:space="preserve"> </w:t>
      </w:r>
      <w:r>
        <w:t xml:space="preserve">and</w:t>
      </w:r>
      <w:r>
        <w:t xml:space="preserve"> </w:t>
      </w:r>
      <m:oMath>
        <m:r>
          <m:t>1</m:t>
        </m:r>
        <m:r>
          <m:t>≤</m:t>
        </m:r>
        <m:r>
          <m:t>m</m:t>
        </m:r>
        <m:r>
          <m:t>≤</m:t>
        </m:r>
        <m:r>
          <m:t>M</m:t>
        </m:r>
      </m:oMath>
      <w:r>
        <w:t xml:space="preserve">.</w:t>
      </w:r>
    </w:p>
    <w:p>
      <w:pPr>
        <w:pStyle w:val="BodyText"/>
      </w:pPr>
      <w:r>
        <w:rPr>
          <w:i/>
        </w:rPr>
        <w:t xml:space="preserve">Proof:</w:t>
      </w:r>
    </w:p>
    <w:p>
      <w:pPr>
        <w:pStyle w:val="BodyText"/>
      </w:pPr>
      <w:r>
        <w:t xml:space="preserve">If</w:t>
      </w:r>
      <w:r>
        <w:t xml:space="preserve"> </w:t>
      </w:r>
      <m:oMath>
        <m:r>
          <m:t>η</m:t>
        </m:r>
        <m:r>
          <m:t>&gt;</m:t>
        </m:r>
        <m:r>
          <m:t>0</m:t>
        </m:r>
      </m:oMath>
      <w:r>
        <w:t xml:space="preserve">, consider the Cauchy problem , ,</w:t>
      </w:r>
      <w:r>
        <w:t xml:space="preserve"> </w:t>
      </w:r>
      <w:r>
        <w:t xml:space="preserve">where</w:t>
      </w:r>
      <w:r>
        <w:t xml:space="preserve"> </w:t>
      </w:r>
      <m:oMath>
        <m:sSub>
          <m:e>
            <m:r>
              <m:t>f</m:t>
            </m:r>
          </m:e>
          <m:sub>
            <m:r>
              <m:t>τ</m:t>
            </m:r>
          </m:sub>
        </m:sSub>
        <m:r>
          <m:t>(</m:t>
        </m:r>
        <m:sSub>
          <m:e>
            <m:r>
              <m:rPr>
                <m:sty m:val="b"/>
              </m:rPr>
              <m:t>v</m:t>
            </m:r>
          </m:e>
          <m:sub>
            <m:r>
              <m:t>k</m:t>
            </m:r>
          </m:sub>
        </m:sSub>
        <m:r>
          <m:t>,</m:t>
        </m:r>
        <m:r>
          <m:t>t</m:t>
        </m:r>
        <m:r>
          <m:t>)</m:t>
        </m:r>
      </m:oMath>
      <w:r>
        <w:t xml:space="preserve"> </w:t>
      </w:r>
      <w:r>
        <w:t xml:space="preserve">is replaced by</w:t>
      </w:r>
      <w:r>
        <w:t xml:space="preserve"> </w:t>
      </w:r>
      <m:oMath>
        <m:sSub>
          <m:e>
            <m:r>
              <m:t>f</m:t>
            </m:r>
          </m:e>
          <m:sub>
            <m:r>
              <m:t>τ</m:t>
            </m:r>
            <m:r>
              <m:t>,</m:t>
            </m:r>
            <m:r>
              <m:t>t</m:t>
            </m:r>
          </m:sub>
        </m:sSub>
        <m:r>
          <m:t>(</m:t>
        </m:r>
        <m:sSub>
          <m:e>
            <m:r>
              <m:rPr>
                <m:sty m:val="b"/>
              </m:rPr>
              <m:t>v</m:t>
            </m:r>
          </m:e>
          <m:sub>
            <m:r>
              <m:t>k</m:t>
            </m:r>
          </m:sub>
        </m:sSub>
        <m:r>
          <m:t>)</m:t>
        </m:r>
        <m:r>
          <m:t>+</m:t>
        </m:r>
        <m:r>
          <m:t>η</m:t>
        </m:r>
      </m:oMath>
      <w:r>
        <w:t xml:space="preserve"> </w:t>
      </w:r>
      <w:r>
        <w:t xml:space="preserve">and</w:t>
      </w:r>
      <w:r>
        <w:t xml:space="preserve"> </w:t>
      </w:r>
      <m:oMath>
        <m:sSub>
          <m:e>
            <m:r>
              <m:t>τ</m:t>
            </m:r>
          </m:e>
          <m:sub>
            <m:r>
              <m:t>1</m:t>
            </m:r>
          </m:sub>
        </m:sSub>
        <m:r>
          <m:t>(</m:t>
        </m:r>
        <m:sSub>
          <m:e>
            <m:r>
              <m:rPr>
                <m:sty m:val="b"/>
              </m:rPr>
              <m:t>v</m:t>
            </m:r>
          </m:e>
          <m:sub>
            <m:r>
              <m:t>k</m:t>
            </m:r>
          </m:sub>
        </m:sSub>
        <m:r>
          <m:t>,</m:t>
        </m:r>
        <m:sSub>
          <m:e>
            <m:r>
              <m:t>t</m:t>
            </m:r>
          </m:e>
          <m:sub>
            <m:r>
              <m:t>0</m:t>
            </m:r>
          </m:sub>
        </m:sSub>
        <m:r>
          <m:t>)</m:t>
        </m:r>
      </m:oMath>
      <w:r>
        <w:t xml:space="preserve"> </w:t>
      </w:r>
      <w:r>
        <w:t xml:space="preserve">by</w:t>
      </w:r>
      <w:r>
        <w:t xml:space="preserve"> </w:t>
      </w:r>
      <m:oMath>
        <m:sSub>
          <m:e>
            <m:r>
              <m:t>τ</m:t>
            </m:r>
          </m:e>
          <m:sub>
            <m:r>
              <m:t>1</m:t>
            </m:r>
          </m:sub>
        </m:sSub>
        <m:r>
          <m:t>(</m:t>
        </m:r>
        <m:sSub>
          <m:e>
            <m:r>
              <m:rPr>
                <m:sty m:val="b"/>
              </m:rPr>
              <m:t>v</m:t>
            </m:r>
          </m:e>
          <m:sub>
            <m:r>
              <m:t>k</m:t>
            </m:r>
          </m:sub>
        </m:sSub>
        <m:r>
          <m:t>,</m:t>
        </m:r>
        <m:sSub>
          <m:e>
            <m:r>
              <m:t>t</m:t>
            </m:r>
          </m:e>
          <m:sub>
            <m:r>
              <m:t>0</m:t>
            </m:r>
          </m:sub>
        </m:sSub>
        <m:r>
          <m:t>)</m:t>
        </m:r>
        <m:r>
          <m:t>+</m:t>
        </m:r>
        <m:r>
          <m:t>η</m:t>
        </m:r>
      </m:oMath>
      <w:r>
        <w:t xml:space="preserve"> </w:t>
      </w:r>
      <w:r>
        <w:t xml:space="preserve">for all</w:t>
      </w:r>
      <w:r>
        <w:t xml:space="preserve"> </w:t>
      </w:r>
      <m:oMath>
        <m:r>
          <m:t>k</m:t>
        </m:r>
        <m:r>
          <m:t>∈</m:t>
        </m:r>
        <m:r>
          <m:t>V</m:t>
        </m:r>
        <m:r>
          <m:t>(</m:t>
        </m:r>
        <m:r>
          <m:t>Γ</m:t>
        </m:r>
        <m:r>
          <m:t>)</m:t>
        </m:r>
      </m:oMath>
      <w:r>
        <w:t xml:space="preserve">.</w:t>
      </w:r>
      <w:r>
        <w:t xml:space="preserve"> </w:t>
      </w:r>
      <w:r>
        <w:t xml:space="preserve">By Theorem 1 and Lemma 1, this approximate problem admits a positive solution defined for all times</w:t>
      </w:r>
      <w:r>
        <w:t xml:space="preserve"> </w:t>
      </w:r>
      <m:oMath>
        <m:r>
          <m:t>t</m:t>
        </m:r>
      </m:oMath>
      <w:r>
        <w:t xml:space="preserve">.</w:t>
      </w:r>
      <w:r>
        <w:t xml:space="preserve"> </w:t>
      </w:r>
      <w:r>
        <w:t xml:space="preserve">Then we can conclude letting</w:t>
      </w:r>
      <w:r>
        <w:t xml:space="preserve"> </w:t>
      </w:r>
      <m:oMath>
        <m:r>
          <m:t>η</m:t>
        </m:r>
        <m:r>
          <m:t>→</m:t>
        </m:r>
        <m:r>
          <m:t>0</m:t>
        </m:r>
      </m:oMath>
      <w:r>
        <w:t xml:space="preserve"> </w:t>
      </w:r>
      <w:r>
        <w:t xml:space="preserve">by the continuous dependence of the solutions of a Cauchy problem on the data</w:t>
      </w:r>
      <w:r>
        <w:t xml:space="preserve"> </w:t>
      </w:r>
      <w:r>
        <w:t xml:space="preserve">(see e.g. (Hartman 1964), Theorem 3.2).</w:t>
      </w:r>
    </w:p>
    <w:p>
      <w:pPr>
        <w:pStyle w:val="Heading1"/>
      </w:pPr>
      <w:bookmarkStart w:id="48" w:name="references"/>
      <w:bookmarkEnd w:id="48"/>
      <w:r>
        <w:t xml:space="preserve">References</w:t>
      </w:r>
    </w:p>
    <w:p>
      <w:pPr>
        <w:pStyle w:val="FirstParagraph"/>
      </w:pPr>
      <w:r>
        <w:t xml:space="preserve">Braak, H, and E Braak. 1991.</w:t>
      </w:r>
      <w:r>
        <w:t xml:space="preserve"> </w:t>
      </w:r>
      <w:r>
        <w:t xml:space="preserve">“</w:t>
      </w:r>
      <w:r>
        <w:t xml:space="preserve">Neuropathological Stageing of Alzheimer-Related Changes.</w:t>
      </w:r>
      <w:r>
        <w:t xml:space="preserve">”</w:t>
      </w:r>
      <w:r>
        <w:t xml:space="preserve">.</w:t>
      </w:r>
      <w:r>
        <w:t xml:space="preserve"> </w:t>
      </w:r>
      <w:r>
        <w:rPr>
          <w:i/>
        </w:rPr>
        <w:t xml:space="preserve">Acta Neuropathologica</w:t>
      </w:r>
      <w:r>
        <w:t xml:space="preserve"> </w:t>
      </w:r>
      <w:r>
        <w:t xml:space="preserve">82 (4): 239–59. doi:10.1007/BF00308809.</w:t>
      </w:r>
    </w:p>
    <w:p>
      <w:pPr>
        <w:pStyle w:val="BodyText"/>
      </w:pPr>
      <w:r>
        <w:t xml:space="preserve">Thal, Dietmar R, Udo R</w:t>
      </w:r>
      <w:r>
        <w:t xml:space="preserve">ü</w:t>
      </w:r>
      <w:r>
        <w:t xml:space="preserve">b, Mario Orantes, and Heiko Braak. 2002.</w:t>
      </w:r>
      <w:r>
        <w:t xml:space="preserve"> </w:t>
      </w:r>
      <w:r>
        <w:t xml:space="preserve">“</w:t>
      </w:r>
      <w:r>
        <w:t xml:space="preserve">Phases of A Beta-Deposition in the Human Brain and Its Relevance for the Development of AD.</w:t>
      </w:r>
      <w:r>
        <w:t xml:space="preserve">”</w:t>
      </w:r>
      <w:r>
        <w:t xml:space="preserve">.</w:t>
      </w:r>
      <w:r>
        <w:t xml:space="preserve"> </w:t>
      </w:r>
      <w:r>
        <w:rPr>
          <w:i/>
        </w:rPr>
        <w:t xml:space="preserve">Neurology</w:t>
      </w:r>
      <w:r>
        <w:t xml:space="preserve"> </w:t>
      </w:r>
      <w:r>
        <w:t xml:space="preserve">58 (12): 1791–1800.</w:t>
      </w:r>
      <w:r>
        <w:t xml:space="preserve"> </w:t>
      </w:r>
      <w:hyperlink r:id="rId49">
        <w:r>
          <w:rPr>
            <w:rStyle w:val="Hyperlink"/>
          </w:rPr>
          <w:t xml:space="preserve">http://www.ncbi.nlm.nih.gov/pubmed/12084879.</w:t>
        </w:r>
      </w:hyperlink>
    </w:p>
    <w:p>
      <w:pPr>
        <w:pStyle w:val="BodyText"/>
      </w:pPr>
      <w:r>
        <w:t xml:space="preserve">Clavaguera, Florence, Tristan Bolmont, R Anthony Crowther, Dorothee Abramowski, Stephan Frank, Alphonse Probst, Graham Fraser, et al. 2009.</w:t>
      </w:r>
      <w:r>
        <w:t xml:space="preserve"> </w:t>
      </w:r>
      <w:r>
        <w:t xml:space="preserve">“</w:t>
      </w:r>
      <w:r>
        <w:t xml:space="preserve">Transmission and Spreading of Tauopathy in Transgenic Mouse Brain.</w:t>
      </w:r>
      <w:r>
        <w:t xml:space="preserve">”</w:t>
      </w:r>
      <w:r>
        <w:t xml:space="preserve">.</w:t>
      </w:r>
      <w:r>
        <w:t xml:space="preserve"> </w:t>
      </w:r>
      <w:r>
        <w:rPr>
          <w:i/>
        </w:rPr>
        <w:t xml:space="preserve">Nature Cell Biology</w:t>
      </w:r>
      <w:r>
        <w:t xml:space="preserve"> </w:t>
      </w:r>
      <w:r>
        <w:t xml:space="preserve">11 (7). Nature Publishing Group: 909–13. doi:10.1038/ncb1901.</w:t>
      </w:r>
    </w:p>
    <w:p>
      <w:pPr>
        <w:pStyle w:val="BodyText"/>
      </w:pPr>
      <w:r>
        <w:t xml:space="preserve">Frost, Bess, and Marc I Diamond. 2010.</w:t>
      </w:r>
      <w:r>
        <w:t xml:space="preserve"> </w:t>
      </w:r>
      <w:r>
        <w:t xml:space="preserve">“</w:t>
      </w:r>
      <w:r>
        <w:t xml:space="preserve">Prion-like Mechanisms in Neurodegenerative Diseases.</w:t>
      </w:r>
      <w:r>
        <w:t xml:space="preserve">”</w:t>
      </w:r>
      <w:r>
        <w:t xml:space="preserve">.</w:t>
      </w:r>
      <w:r>
        <w:t xml:space="preserve"> </w:t>
      </w:r>
      <w:r>
        <w:rPr>
          <w:i/>
        </w:rPr>
        <w:t xml:space="preserve">Nature Reviews. Neuroscience</w:t>
      </w:r>
      <w:r>
        <w:t xml:space="preserve"> </w:t>
      </w:r>
      <w:r>
        <w:t xml:space="preserve">11 (3). Nature Publishing Group: 155–59.</w:t>
      </w:r>
      <w:r>
        <w:t xml:space="preserve"> </w:t>
      </w:r>
      <w:hyperlink r:id="rId50">
        <w:r>
          <w:rPr>
            <w:rStyle w:val="Hyperlink"/>
          </w:rPr>
          <w:t xml:space="preserve">http://dx.doi.org/10.1038/nrn2786.</w:t>
        </w:r>
      </w:hyperlink>
    </w:p>
    <w:p>
      <w:pPr>
        <w:pStyle w:val="BodyText"/>
      </w:pPr>
      <w:r>
        <w:t xml:space="preserve">Iba, Michiyo, Jennifer D McBride, Jing L Guo, Bin Zhang, John Q Trojanowski, and Virginia M-Y Lee. 2015.</w:t>
      </w:r>
      <w:r>
        <w:t xml:space="preserve"> </w:t>
      </w:r>
      <w:r>
        <w:t xml:space="preserve">“</w:t>
      </w:r>
      <w:r>
        <w:t xml:space="preserve">Tau Pathology Spread in PS19 Tau Transgenic Mice Following Locus Coeruleus (LC) Injections of Synthetic Tau Fibrils Is Determined by the LC’s Afferent and Efferent Connections.</w:t>
      </w:r>
      <w:r>
        <w:t xml:space="preserve">”</w:t>
      </w:r>
      <w:r>
        <w:t xml:space="preserve">.</w:t>
      </w:r>
      <w:r>
        <w:t xml:space="preserve"> </w:t>
      </w:r>
      <w:r>
        <w:rPr>
          <w:i/>
        </w:rPr>
        <w:t xml:space="preserve">Acta Neuropathologica</w:t>
      </w:r>
      <w:r>
        <w:t xml:space="preserve"> </w:t>
      </w:r>
      <w:r>
        <w:t xml:space="preserve">130 (3): 349–62.</w:t>
      </w:r>
      <w:r>
        <w:t xml:space="preserve"> </w:t>
      </w:r>
      <w:hyperlink r:id="rId51">
        <w:r>
          <w:rPr>
            <w:rStyle w:val="Hyperlink"/>
          </w:rPr>
          <w:t xml:space="preserve">http://www.ncbi.nlm.nih.gov/pubmed/26150341.</w:t>
        </w:r>
      </w:hyperlink>
    </w:p>
    <w:p>
      <w:pPr>
        <w:pStyle w:val="BodyText"/>
      </w:pPr>
      <w:r>
        <w:t xml:space="preserve">Jucker, Mathias, and Lary C Walker. 2013.</w:t>
      </w:r>
      <w:r>
        <w:t xml:space="preserve"> </w:t>
      </w:r>
      <w:r>
        <w:t xml:space="preserve">“</w:t>
      </w:r>
      <w:r>
        <w:t xml:space="preserve">Self-Propagation of Pathogenic Protein Aggregates in Neurodegenerative Diseases.</w:t>
      </w:r>
      <w:r>
        <w:t xml:space="preserve">”</w:t>
      </w:r>
      <w:r>
        <w:t xml:space="preserve">.</w:t>
      </w:r>
      <w:r>
        <w:t xml:space="preserve"> </w:t>
      </w:r>
      <w:r>
        <w:rPr>
          <w:i/>
        </w:rPr>
        <w:t xml:space="preserve">Nature</w:t>
      </w:r>
      <w:r>
        <w:t xml:space="preserve"> </w:t>
      </w:r>
      <w:r>
        <w:t xml:space="preserve">501 (7465). Nature Publishing Group, a division of Macmillan Publishers Limited. All Rights Reserved.: 45–51. doi:10.1038/nature12481.</w:t>
      </w:r>
    </w:p>
    <w:p>
      <w:pPr>
        <w:pStyle w:val="BodyText"/>
      </w:pPr>
      <w:r>
        <w:t xml:space="preserve">Gillam, J.E., and C.E. MacPhee. 2013.</w:t>
      </w:r>
      <w:r>
        <w:t xml:space="preserve"> </w:t>
      </w:r>
      <w:r>
        <w:t xml:space="preserve">“</w:t>
      </w:r>
      <w:r>
        <w:t xml:space="preserve">Modelling Amyloid Fibril Formation Kinetics: Mechanisms of Nucleation and Growth</w:t>
      </w:r>
      <w:r>
        <w:t xml:space="preserve">”</w:t>
      </w:r>
      <w:r>
        <w:t xml:space="preserve">.</w:t>
      </w:r>
      <w:r>
        <w:t xml:space="preserve"> </w:t>
      </w:r>
      <w:r>
        <w:rPr>
          <w:i/>
        </w:rPr>
        <w:t xml:space="preserve">Journal of Physics: Condensed Matter</w:t>
      </w:r>
      <w:r>
        <w:t xml:space="preserve"> </w:t>
      </w:r>
      <w:r>
        <w:t xml:space="preserve">25 (373101). IOPScience: 1–20.</w:t>
      </w:r>
    </w:p>
    <w:p>
      <w:pPr>
        <w:pStyle w:val="BodyText"/>
      </w:pPr>
      <w:r>
        <w:t xml:space="preserve">Prusiner, Stanley B, Michael Scott, Dallas Foster, Keh-Ming Pan, Darlene Groth, Carol Mirenda, Marilyn Torchia, et al. 1990.</w:t>
      </w:r>
      <w:r>
        <w:t xml:space="preserve"> </w:t>
      </w:r>
      <w:r>
        <w:t xml:space="preserve">“</w:t>
      </w:r>
      <w:r>
        <w:t xml:space="preserve">Transgenetic Studies Implicate Interactions between Homologous PrP Isoforms in Scrapie Prion Replication</w:t>
      </w:r>
      <w:r>
        <w:t xml:space="preserve">”</w:t>
      </w:r>
      <w:r>
        <w:t xml:space="preserve">.</w:t>
      </w:r>
      <w:r>
        <w:t xml:space="preserve"> </w:t>
      </w:r>
      <w:r>
        <w:rPr>
          <w:i/>
        </w:rPr>
        <w:t xml:space="preserve">Cell</w:t>
      </w:r>
      <w:r>
        <w:t xml:space="preserve"> </w:t>
      </w:r>
      <w:r>
        <w:t xml:space="preserve">63: 673?86.</w:t>
      </w:r>
    </w:p>
    <w:p>
      <w:pPr>
        <w:pStyle w:val="BodyText"/>
      </w:pPr>
      <w:r>
        <w:t xml:space="preserve">Masel, J, VA Jansen, and MA Nowak. 1999.</w:t>
      </w:r>
      <w:r>
        <w:t xml:space="preserve"> </w:t>
      </w:r>
      <w:r>
        <w:t xml:space="preserve">“</w:t>
      </w:r>
      <w:r>
        <w:t xml:space="preserve">Quantifying the Kinetic Parameters of Prion Replication</w:t>
      </w:r>
      <w:r>
        <w:t xml:space="preserve">”</w:t>
      </w:r>
      <w:r>
        <w:t xml:space="preserve">.</w:t>
      </w:r>
      <w:r>
        <w:t xml:space="preserve"> </w:t>
      </w:r>
      <w:r>
        <w:rPr>
          <w:i/>
        </w:rPr>
        <w:t xml:space="preserve">Biophysical Chemistry</w:t>
      </w:r>
      <w:r>
        <w:t xml:space="preserve"> </w:t>
      </w:r>
      <w:r>
        <w:t xml:space="preserve">77: 139?52.</w:t>
      </w:r>
    </w:p>
    <w:p>
      <w:pPr>
        <w:pStyle w:val="BodyText"/>
      </w:pPr>
      <w:r>
        <w:t xml:space="preserve">Morris, A.M., M.A. Watzky, and R.G. Finke. 2009.</w:t>
      </w:r>
      <w:r>
        <w:t xml:space="preserve"> </w:t>
      </w:r>
      <w:r>
        <w:t xml:space="preserve">“</w:t>
      </w:r>
      <w:r>
        <w:t xml:space="preserve">Protein Aggregation Kinetics, Mechanism, and Curve-Fitting: a Review of the Literature</w:t>
      </w:r>
      <w:r>
        <w:t xml:space="preserve">”</w:t>
      </w:r>
      <w:r>
        <w:t xml:space="preserve">.</w:t>
      </w:r>
      <w:r>
        <w:t xml:space="preserve"> </w:t>
      </w:r>
      <w:r>
        <w:rPr>
          <w:i/>
        </w:rPr>
        <w:t xml:space="preserve">Biochimica Et Biophysica Acta - Proteins and Proteomics</w:t>
      </w:r>
      <w:r>
        <w:t xml:space="preserve"> </w:t>
      </w:r>
      <w:r>
        <w:t xml:space="preserve">1794 (3): 375–97.</w:t>
      </w:r>
    </w:p>
    <w:p>
      <w:pPr>
        <w:pStyle w:val="BodyText"/>
      </w:pPr>
      <w:r>
        <w:t xml:space="preserve">Serpell, L.C., M. Sunde, and C.C. Blake. 1997.</w:t>
      </w:r>
      <w:r>
        <w:t xml:space="preserve"> </w:t>
      </w:r>
      <w:r>
        <w:t xml:space="preserve">“</w:t>
      </w:r>
      <w:r>
        <w:t xml:space="preserve">The Molecular Basis of Amyloidosis</w:t>
      </w:r>
      <w:r>
        <w:t xml:space="preserve">”</w:t>
      </w:r>
      <w:r>
        <w:t xml:space="preserve">.</w:t>
      </w:r>
      <w:r>
        <w:t xml:space="preserve"> </w:t>
      </w:r>
      <w:r>
        <w:rPr>
          <w:i/>
        </w:rPr>
        <w:t xml:space="preserve">Cellular and Molecular Life Sciences</w:t>
      </w:r>
      <w:r>
        <w:t xml:space="preserve"> </w:t>
      </w:r>
      <w:r>
        <w:t xml:space="preserve">53 (11-12): 871–87.</w:t>
      </w:r>
    </w:p>
    <w:p>
      <w:pPr>
        <w:pStyle w:val="BodyText"/>
      </w:pPr>
      <w:r>
        <w:t xml:space="preserve">Eisenberg, D., and M. Jucker. 2012.</w:t>
      </w:r>
      <w:r>
        <w:t xml:space="preserve"> </w:t>
      </w:r>
      <w:r>
        <w:t xml:space="preserve">“</w:t>
      </w:r>
      <w:r>
        <w:t xml:space="preserve">The Amyloid State of Proteins in Human Diseases</w:t>
      </w:r>
      <w:r>
        <w:t xml:space="preserve">”</w:t>
      </w:r>
      <w:r>
        <w:t xml:space="preserve">.</w:t>
      </w:r>
      <w:r>
        <w:t xml:space="preserve"> </w:t>
      </w:r>
      <w:r>
        <w:rPr>
          <w:i/>
        </w:rPr>
        <w:t xml:space="preserve">Cell</w:t>
      </w:r>
      <w:r>
        <w:t xml:space="preserve"> </w:t>
      </w:r>
      <w:r>
        <w:t xml:space="preserve">148 (6): 1188?1203.</w:t>
      </w:r>
    </w:p>
    <w:p>
      <w:pPr>
        <w:pStyle w:val="BodyText"/>
      </w:pPr>
      <w:r>
        <w:t xml:space="preserve">Walsh, D. M., and D. J. Selkoe. 2007.</w:t>
      </w:r>
      <w:r>
        <w:t xml:space="preserve"> </w:t>
      </w:r>
      <w:r>
        <w:t xml:space="preserve">“</w:t>
      </w:r>
      <w:r>
        <w:t xml:space="preserve">A</w:t>
      </w:r>
      <w:r>
        <w:t xml:space="preserve">$\Beta$</w:t>
      </w:r>
      <w:r>
        <w:t xml:space="preserve"> </w:t>
      </w:r>
      <w:r>
        <w:t xml:space="preserve">Oligomers: a Decade of Discovery</w:t>
      </w:r>
      <w:r>
        <w:t xml:space="preserve">”</w:t>
      </w:r>
      <w:r>
        <w:t xml:space="preserve">.</w:t>
      </w:r>
      <w:r>
        <w:t xml:space="preserve"> </w:t>
      </w:r>
      <w:r>
        <w:rPr>
          <w:i/>
        </w:rPr>
        <w:t xml:space="preserve">J. Neurochem.</w:t>
      </w:r>
      <w:r>
        <w:t xml:space="preserve"> </w:t>
      </w:r>
      <w:r>
        <w:t xml:space="preserve">101 (5). Blackwell Publishing Ltd: 1172–84.</w:t>
      </w:r>
    </w:p>
    <w:p>
      <w:pPr>
        <w:pStyle w:val="BodyText"/>
      </w:pPr>
      <w:r>
        <w:t xml:space="preserve">Wetzel, R. 1996.</w:t>
      </w:r>
      <w:r>
        <w:t xml:space="preserve"> </w:t>
      </w:r>
      <w:r>
        <w:t xml:space="preserve">“</w:t>
      </w:r>
      <w:r>
        <w:t xml:space="preserve">For Protein Misassembly, It’s the I Decade</w:t>
      </w:r>
      <w:r>
        <w:t xml:space="preserve">”</w:t>
      </w:r>
      <w:r>
        <w:t xml:space="preserve">.</w:t>
      </w:r>
      <w:r>
        <w:t xml:space="preserve"> </w:t>
      </w:r>
      <w:r>
        <w:rPr>
          <w:i/>
        </w:rPr>
        <w:t xml:space="preserve">Cell</w:t>
      </w:r>
      <w:r>
        <w:t xml:space="preserve"> </w:t>
      </w:r>
      <w:r>
        <w:t xml:space="preserve">86 (5): 699–702.</w:t>
      </w:r>
    </w:p>
    <w:p>
      <w:pPr>
        <w:pStyle w:val="BodyText"/>
      </w:pPr>
      <w:r>
        <w:t xml:space="preserve">Murphy, R. M., and M. M. Pallitto. 2000.</w:t>
      </w:r>
      <w:r>
        <w:t xml:space="preserve"> </w:t>
      </w:r>
      <w:r>
        <w:t xml:space="preserve">“</w:t>
      </w:r>
      <w:r>
        <w:t xml:space="preserve">Probing the Kinetics of</w:t>
      </w:r>
      <w:r>
        <w:t xml:space="preserve"> </w:t>
      </w:r>
      <w:r>
        <w:t xml:space="preserve">$\Beta$</w:t>
      </w:r>
      <w:r>
        <w:t xml:space="preserve">-Amyloid Self-Association</w:t>
      </w:r>
      <w:r>
        <w:t xml:space="preserve">”</w:t>
      </w:r>
      <w:r>
        <w:t xml:space="preserve">.</w:t>
      </w:r>
      <w:r>
        <w:t xml:space="preserve"> </w:t>
      </w:r>
      <w:r>
        <w:rPr>
          <w:i/>
        </w:rPr>
        <w:t xml:space="preserve">Biophysical Journal</w:t>
      </w:r>
      <w:r>
        <w:t xml:space="preserve"> </w:t>
      </w:r>
      <w:r>
        <w:t xml:space="preserve">130 (2-3): 109–22.</w:t>
      </w:r>
    </w:p>
    <w:p>
      <w:pPr>
        <w:pStyle w:val="BodyText"/>
      </w:pPr>
      <w:r>
        <w:t xml:space="preserve">Achdou, Y., B. Franchi, N. Marcello, and M. C. Tesi. 2013.</w:t>
      </w:r>
      <w:r>
        <w:t xml:space="preserve"> </w:t>
      </w:r>
      <w:r>
        <w:t xml:space="preserve">“</w:t>
      </w:r>
      <w:r>
        <w:t xml:space="preserve">A Qualitative Model for Aggregation and Diffusion of</w:t>
      </w:r>
      <w:r>
        <w:t xml:space="preserve"> </w:t>
      </w:r>
      <w:r>
        <w:t xml:space="preserve">$\Beta$</w:t>
      </w:r>
      <w:r>
        <w:t xml:space="preserve">-Amyloid in</w:t>
      </w:r>
      <w:r>
        <w:t xml:space="preserve"> </w:t>
      </w:r>
      <w:r>
        <w:t xml:space="preserve">A</w:t>
      </w:r>
      <w:r>
        <w:t xml:space="preserve">Lzheimer’s Disease</w:t>
      </w:r>
      <w:r>
        <w:t xml:space="preserve">”</w:t>
      </w:r>
      <w:r>
        <w:t xml:space="preserve">.</w:t>
      </w:r>
      <w:r>
        <w:t xml:space="preserve"> </w:t>
      </w:r>
      <w:r>
        <w:rPr>
          <w:i/>
        </w:rPr>
        <w:t xml:space="preserve">J. Math. Biol.</w:t>
      </w:r>
      <w:r>
        <w:t xml:space="preserve"> </w:t>
      </w:r>
      <w:r>
        <w:t xml:space="preserve">67 (6-7): 1369–92.</w:t>
      </w:r>
    </w:p>
    <w:p>
      <w:pPr>
        <w:pStyle w:val="BodyText"/>
      </w:pPr>
      <w:r>
        <w:t xml:space="preserve">Bertsch, Michiel, Bruno Franchi, Norina Marcello, Maria Carla Tesi, and Andrea Tosin. 2017.</w:t>
      </w:r>
      <w:r>
        <w:t xml:space="preserve"> </w:t>
      </w:r>
      <w:r>
        <w:t xml:space="preserve">“</w:t>
      </w:r>
      <w:r>
        <w:t xml:space="preserve">Alzheimer’s Disease: a Mathematical Model for Onset and Progression</w:t>
      </w:r>
      <w:r>
        <w:t xml:space="preserve">”</w:t>
      </w:r>
      <w:r>
        <w:t xml:space="preserve">.</w:t>
      </w:r>
      <w:r>
        <w:t xml:space="preserve"> </w:t>
      </w:r>
      <w:r>
        <w:rPr>
          <w:i/>
        </w:rPr>
        <w:t xml:space="preserve">Math. Med. Biol.</w:t>
      </w:r>
      <w:r>
        <w:t xml:space="preserve"> </w:t>
      </w:r>
      <w:r>
        <w:t xml:space="preserve">34 (2): 193–214. doi:10.1093/imammb/dqw003.</w:t>
      </w:r>
    </w:p>
    <w:p>
      <w:pPr>
        <w:pStyle w:val="BodyText"/>
      </w:pPr>
      <w:r>
        <w:t xml:space="preserve">Franchi, B., and S. Lorenzani. 2016.</w:t>
      </w:r>
      <w:r>
        <w:t xml:space="preserve"> </w:t>
      </w:r>
      <w:r>
        <w:t xml:space="preserve">“</w:t>
      </w:r>
      <w:r>
        <w:t xml:space="preserve">From a Microscopic to a Macroscopic Model for</w:t>
      </w:r>
      <w:r>
        <w:t xml:space="preserve"> </w:t>
      </w:r>
      <w:r>
        <w:t xml:space="preserve">A</w:t>
      </w:r>
      <w:r>
        <w:t xml:space="preserve">Lzheimer Disease: Two-Scale Homogenization of the</w:t>
      </w:r>
      <w:r>
        <w:t xml:space="preserve"> </w:t>
      </w:r>
      <w:r>
        <w:t xml:space="preserve">S</w:t>
      </w:r>
      <w:r>
        <w:t xml:space="preserve">Moluchowski Equation in Perforated Domains</w:t>
      </w:r>
      <w:r>
        <w:t xml:space="preserve">”</w:t>
      </w:r>
      <w:r>
        <w:t xml:space="preserve">.</w:t>
      </w:r>
      <w:r>
        <w:t xml:space="preserve"> </w:t>
      </w:r>
      <w:r>
        <w:rPr>
          <w:i/>
        </w:rPr>
        <w:t xml:space="preserve">J. Nonlinear Sci.</w:t>
      </w:r>
      <w:r>
        <w:t xml:space="preserve"> </w:t>
      </w:r>
      <w:r>
        <w:t xml:space="preserve">26 (3): 717–53. doi:10.1007/s00332-016-9288-7.</w:t>
      </w:r>
    </w:p>
    <w:p>
      <w:pPr>
        <w:pStyle w:val="BodyText"/>
      </w:pPr>
      <w:r>
        <w:t xml:space="preserve">Franchi, Bruno, and Silvia Lorenzani. 2017.</w:t>
      </w:r>
      <w:r>
        <w:t xml:space="preserve"> </w:t>
      </w:r>
      <w:r>
        <w:t xml:space="preserve">“</w:t>
      </w:r>
      <w:r>
        <w:t xml:space="preserve">Smoluchowski Equation with Variable Coefficients in Perforated Domains: Homogenization and Applications to Mathematical Models in Medicine</w:t>
      </w:r>
      <w:r>
        <w:t xml:space="preserve">”</w:t>
      </w:r>
      <w:r>
        <w:t xml:space="preserve">. In</w:t>
      </w:r>
      <w:r>
        <w:t xml:space="preserve"> </w:t>
      </w:r>
      <w:r>
        <w:rPr>
          <w:i/>
        </w:rPr>
        <w:t xml:space="preserve">Harmonic Analysis, Partial Differential Equations and Applications</w:t>
      </w:r>
      <w:r>
        <w:t xml:space="preserve">, 49–67. Appl. Numer. Harmon. Anal. Birkhäuser/Springer, Cham.</w:t>
      </w:r>
    </w:p>
    <w:p>
      <w:pPr>
        <w:pStyle w:val="BodyText"/>
      </w:pPr>
      <w:r>
        <w:t xml:space="preserve">Carbonell, F, Y Iturria-Medina, and Alan C Evans. 2018.</w:t>
      </w:r>
      <w:r>
        <w:t xml:space="preserve"> </w:t>
      </w:r>
      <w:r>
        <w:t xml:space="preserve">“</w:t>
      </w:r>
      <w:r>
        <w:t xml:space="preserve">Mathematical Modeling of Protein Misfolding Mechanisms in Neurological Diseases: A Historical Overview</w:t>
      </w:r>
      <w:r>
        <w:t xml:space="preserve">”</w:t>
      </w:r>
      <w:r>
        <w:t xml:space="preserve">.</w:t>
      </w:r>
      <w:r>
        <w:t xml:space="preserve"> </w:t>
      </w:r>
      <w:r>
        <w:rPr>
          <w:i/>
        </w:rPr>
        <w:t xml:space="preserve">Frontiers Neurology</w:t>
      </w:r>
      <w:r>
        <w:t xml:space="preserve"> </w:t>
      </w:r>
      <w:r>
        <w:t xml:space="preserve">9 (37).</w:t>
      </w:r>
    </w:p>
    <w:p>
      <w:pPr>
        <w:pStyle w:val="BodyText"/>
      </w:pPr>
      <w:r>
        <w:t xml:space="preserve">Payne, RJ, and DC Krakauer. 1998.</w:t>
      </w:r>
      <w:r>
        <w:t xml:space="preserve"> </w:t>
      </w:r>
      <w:r>
        <w:t xml:space="preserve">“</w:t>
      </w:r>
      <w:r>
        <w:t xml:space="preserve">The Spatial Dynamics of Prion Disease</w:t>
      </w:r>
      <w:r>
        <w:t xml:space="preserve">”</w:t>
      </w:r>
      <w:r>
        <w:t xml:space="preserve">.</w:t>
      </w:r>
      <w:r>
        <w:t xml:space="preserve"> </w:t>
      </w:r>
      <w:r>
        <w:rPr>
          <w:i/>
        </w:rPr>
        <w:t xml:space="preserve">Proceedings of Biological Sciences</w:t>
      </w:r>
      <w:r>
        <w:t xml:space="preserve"> </w:t>
      </w:r>
      <w:r>
        <w:t xml:space="preserve">265: 2341?6.</w:t>
      </w:r>
    </w:p>
    <w:p>
      <w:pPr>
        <w:pStyle w:val="BodyText"/>
      </w:pPr>
      <w:r>
        <w:t xml:space="preserve">Matthäus, Franziska. 2006.</w:t>
      </w:r>
      <w:r>
        <w:t xml:space="preserve"> </w:t>
      </w:r>
      <w:r>
        <w:t xml:space="preserve">“</w:t>
      </w:r>
      <w:r>
        <w:t xml:space="preserve">Diffusion versus Network Models as Descriptions for the Spread of Prion Diseases in the Brain</w:t>
      </w:r>
      <w:r>
        <w:t xml:space="preserve">”</w:t>
      </w:r>
      <w:r>
        <w:t xml:space="preserve">.</w:t>
      </w:r>
      <w:r>
        <w:t xml:space="preserve"> </w:t>
      </w:r>
      <w:r>
        <w:rPr>
          <w:i/>
        </w:rPr>
        <w:t xml:space="preserve">Journal of Theoretical Biology</w:t>
      </w:r>
      <w:r>
        <w:t xml:space="preserve"> </w:t>
      </w:r>
      <w:r>
        <w:t xml:space="preserve">240: 104?113.</w:t>
      </w:r>
    </w:p>
    <w:p>
      <w:pPr>
        <w:pStyle w:val="BodyText"/>
      </w:pPr>
      <w:r>
        <w:t xml:space="preserve">Pievani, Michela, Willem de Haan, Tao Wu, William W Seeley, and Giovanni B Frisoni. 2011.</w:t>
      </w:r>
      <w:r>
        <w:t xml:space="preserve"> </w:t>
      </w:r>
      <w:r>
        <w:t xml:space="preserve">“</w:t>
      </w:r>
      <w:r>
        <w:t xml:space="preserve">Functional Network Disruption in the Degenerative Dementias.</w:t>
      </w:r>
      <w:r>
        <w:t xml:space="preserve">”</w:t>
      </w:r>
      <w:r>
        <w:t xml:space="preserve">.</w:t>
      </w:r>
      <w:r>
        <w:t xml:space="preserve"> </w:t>
      </w:r>
      <w:r>
        <w:rPr>
          <w:i/>
        </w:rPr>
        <w:t xml:space="preserve">The Lancet. Neurology</w:t>
      </w:r>
      <w:r>
        <w:t xml:space="preserve"> </w:t>
      </w:r>
      <w:r>
        <w:t xml:space="preserve">10 (9): 829–43.</w:t>
      </w:r>
      <w:r>
        <w:t xml:space="preserve"> </w:t>
      </w:r>
      <w:hyperlink r:id="rId52">
        <w:r>
          <w:rPr>
            <w:rStyle w:val="Hyperlink"/>
          </w:rPr>
          <w:t xml:space="preserve">http://www.pubmedcentral.nih.gov/articlerender.fcgi?artid=3219874{&amp;}tool=pmcentrez{&amp;}rendertype=abstract.</w:t>
        </w:r>
      </w:hyperlink>
    </w:p>
    <w:p>
      <w:pPr>
        <w:pStyle w:val="BodyText"/>
      </w:pPr>
      <w:r>
        <w:t xml:space="preserve">Raj, Ashish, Amy Kuceyeski, and Michael Weiner. 2012.</w:t>
      </w:r>
      <w:r>
        <w:t xml:space="preserve"> </w:t>
      </w:r>
      <w:r>
        <w:t xml:space="preserve">“</w:t>
      </w:r>
      <w:r>
        <w:t xml:space="preserve">A Network Diffusion Model of Disease Progression in Dementia</w:t>
      </w:r>
      <w:r>
        <w:t xml:space="preserve">”</w:t>
      </w:r>
      <w:r>
        <w:t xml:space="preserve">.</w:t>
      </w:r>
      <w:r>
        <w:t xml:space="preserve"> </w:t>
      </w:r>
      <w:r>
        <w:rPr>
          <w:i/>
        </w:rPr>
        <w:t xml:space="preserve">Neuron</w:t>
      </w:r>
      <w:r>
        <w:t xml:space="preserve"> </w:t>
      </w:r>
      <w:r>
        <w:t xml:space="preserve">73 (6). Elsevier Inc.: 1204–15. doi:10.1016/j.neuron.2011.12.040.</w:t>
      </w:r>
    </w:p>
    <w:p>
      <w:pPr>
        <w:pStyle w:val="BodyText"/>
      </w:pPr>
      <w:r>
        <w:t xml:space="preserve">Raj, Ashish, Eve LoCastro, Amy Kuceyeski, Duygu Tosun, Norman Relkin, and Michael Weiner. 2015.</w:t>
      </w:r>
      <w:r>
        <w:t xml:space="preserve"> </w:t>
      </w:r>
      <w:r>
        <w:t xml:space="preserve">“</w:t>
      </w:r>
      <w:r>
        <w:t xml:space="preserve">Network Diffusion Model of Progression Predicts Longitudinal Patterns of Atrophy and Metabolism in Alzheimer’s Disease</w:t>
      </w:r>
      <w:r>
        <w:t xml:space="preserve">”</w:t>
      </w:r>
      <w:r>
        <w:t xml:space="preserve">.</w:t>
      </w:r>
      <w:r>
        <w:t xml:space="preserve"> </w:t>
      </w:r>
      <w:r>
        <w:rPr>
          <w:i/>
        </w:rPr>
        <w:t xml:space="preserve">Cell Reports</w:t>
      </w:r>
      <w:r>
        <w:t xml:space="preserve"> </w:t>
      </w:r>
      <w:r>
        <w:t xml:space="preserve">in print (3). The Authors: 359–69. doi:10.1016/j.celrep.2014.12.034.</w:t>
      </w:r>
    </w:p>
    <w:p>
      <w:pPr>
        <w:pStyle w:val="BodyText"/>
      </w:pPr>
      <w:r>
        <w:t xml:space="preserve">Zhou, Juan, Efstathios D. Gennatas, Joel H. Kramer, Bruce L. Miller, and William W. Seeley. 2012.</w:t>
      </w:r>
      <w:r>
        <w:t xml:space="preserve"> </w:t>
      </w:r>
      <w:r>
        <w:t xml:space="preserve">“</w:t>
      </w:r>
      <w:r>
        <w:t xml:space="preserve">Predicting Regional Neurodegeneration from the Healthy Brain Functional Connectome.</w:t>
      </w:r>
      <w:r>
        <w:t xml:space="preserve">”</w:t>
      </w:r>
      <w:r>
        <w:t xml:space="preserve">.</w:t>
      </w:r>
      <w:r>
        <w:t xml:space="preserve"> </w:t>
      </w:r>
      <w:r>
        <w:rPr>
          <w:i/>
        </w:rPr>
        <w:t xml:space="preserve">Neuron</w:t>
      </w:r>
      <w:r>
        <w:t xml:space="preserve"> </w:t>
      </w:r>
      <w:r>
        <w:t xml:space="preserve">73 (6). Elsevier Inc.: 1216–27. doi:10.1016/j.neuron.2012.03.004.</w:t>
      </w:r>
    </w:p>
    <w:p>
      <w:pPr>
        <w:pStyle w:val="BodyText"/>
      </w:pPr>
      <w:r>
        <w:t xml:space="preserve">Smoluchowski, M. 1917.</w:t>
      </w:r>
      <w:r>
        <w:t xml:space="preserve"> </w:t>
      </w:r>
      <w:r>
        <w:t xml:space="preserve">“</w:t>
      </w:r>
      <w:r>
        <w:t xml:space="preserve">Versuch Einer Mathematischen Theorie Der Koagulationskinetik Kolloider LSungen</w:t>
      </w:r>
      <w:r>
        <w:t xml:space="preserve">”</w:t>
      </w:r>
      <w:r>
        <w:t xml:space="preserve">.</w:t>
      </w:r>
      <w:r>
        <w:t xml:space="preserve"> </w:t>
      </w:r>
      <w:r>
        <w:rPr>
          <w:i/>
        </w:rPr>
        <w:t xml:space="preserve">IZ. Phys. Chem.</w:t>
      </w:r>
      <w:r>
        <w:t xml:space="preserve"> </w:t>
      </w:r>
      <w:r>
        <w:t xml:space="preserve">92: 129Ð168.</w:t>
      </w:r>
    </w:p>
    <w:p>
      <w:pPr>
        <w:pStyle w:val="BodyText"/>
      </w:pPr>
      <w:r>
        <w:t xml:space="preserve">Xia, Chun-Fang, Janna Arteaga, Gang Chen, Umesh Gangadharmath, Luis F Gomez, Dhanalakshmi Kasi, Chung Lam, et al. 2013.</w:t>
      </w:r>
      <w:r>
        <w:t xml:space="preserve"> </w:t>
      </w:r>
      <w:r>
        <w:t xml:space="preserve">“</w:t>
      </w:r>
      <w:r>
        <w:t xml:space="preserve">[(18)F]T807, a Novel Tau Positron Emission Tomography Imaging Agent for Alzheimer’s Disease.</w:t>
      </w:r>
      <w:r>
        <w:t xml:space="preserve">”</w:t>
      </w:r>
      <w:r>
        <w:t xml:space="preserve">.</w:t>
      </w:r>
      <w:r>
        <w:t xml:space="preserve"> </w:t>
      </w:r>
      <w:r>
        <w:rPr>
          <w:i/>
        </w:rPr>
        <w:t xml:space="preserve">Alzheimer’s</w:t>
      </w:r>
      <w:r>
        <w:rPr>
          <w:i/>
        </w:rPr>
        <w:t xml:space="preserve"> </w:t>
      </w:r>
      <w:r>
        <w:rPr>
          <w:i/>
        </w:rPr>
        <w:t xml:space="preserve">&amp;</w:t>
      </w:r>
      <w:r>
        <w:rPr>
          <w:i/>
        </w:rPr>
        <w:t xml:space="preserve"> </w:t>
      </w:r>
      <w:r>
        <w:rPr>
          <w:i/>
        </w:rPr>
        <w:t xml:space="preserve">Dementia : the Journal of the Alzheimer’s Association</w:t>
      </w:r>
      <w:r>
        <w:t xml:space="preserve"> </w:t>
      </w:r>
      <w:r>
        <w:t xml:space="preserve">9 (6): 666–76.</w:t>
      </w:r>
      <w:r>
        <w:t xml:space="preserve"> </w:t>
      </w:r>
      <w:hyperlink r:id="rId53">
        <w:r>
          <w:rPr>
            <w:rStyle w:val="Hyperlink"/>
          </w:rPr>
          <w:t xml:space="preserve">http://www.ncbi.nlm.nih.gov/pubmed/23411393.</w:t>
        </w:r>
      </w:hyperlink>
    </w:p>
    <w:p>
      <w:pPr>
        <w:pStyle w:val="BodyText"/>
      </w:pPr>
      <w:r>
        <w:t xml:space="preserve">Hanna, Cho, Choi Jae Yong, Hwang Mi Song, Kim You Jin, Lee Hye Mi, Lee Hye Sun, Lee Jae Hoon, Ryu Young Hoon, Lee Myung Sik, and Lyoo Chul Hyoung. 2016.</w:t>
      </w:r>
      <w:r>
        <w:t xml:space="preserve"> </w:t>
      </w:r>
      <w:r>
        <w:t xml:space="preserve">“</w:t>
      </w:r>
      <w:r>
        <w:t xml:space="preserve">In Vivo Cortical Spreading Pattern of Tau and Amyloid in the Alzheimer Disease Spectrum</w:t>
      </w:r>
      <w:r>
        <w:t xml:space="preserve">”</w:t>
      </w:r>
      <w:r>
        <w:t xml:space="preserve">.</w:t>
      </w:r>
      <w:r>
        <w:t xml:space="preserve"> </w:t>
      </w:r>
      <w:r>
        <w:rPr>
          <w:i/>
        </w:rPr>
        <w:t xml:space="preserve">Annals of Neurology</w:t>
      </w:r>
      <w:r>
        <w:t xml:space="preserve"> </w:t>
      </w:r>
      <w:r>
        <w:t xml:space="preserve">80 (2): 247–58. doi:10.1002/ana.24711.</w:t>
      </w:r>
    </w:p>
    <w:p>
      <w:pPr>
        <w:pStyle w:val="BodyText"/>
      </w:pPr>
      <w:r>
        <w:t xml:space="preserve">Vemuri, Prashanthi, Jennifer L Whitwell, Kejal Kantarci, Keith A Josephs, Joseph E Parisi, Maria S Shiung, David S Knopman, et al. 2008.</w:t>
      </w:r>
      <w:r>
        <w:t xml:space="preserve"> </w:t>
      </w:r>
      <w:r>
        <w:t xml:space="preserve">“</w:t>
      </w:r>
      <w:r>
        <w:t xml:space="preserve">Antemortem MRI Based STructural Abnormality INDex (STAND)-Scores Correlate with Postmortem Braak Neurofibrillary Tangle Stage.</w:t>
      </w:r>
      <w:r>
        <w:t xml:space="preserve">”</w:t>
      </w:r>
      <w:r>
        <w:t xml:space="preserve">.</w:t>
      </w:r>
      <w:r>
        <w:t xml:space="preserve"> </w:t>
      </w:r>
      <w:r>
        <w:rPr>
          <w:i/>
        </w:rPr>
        <w:t xml:space="preserve">NeuroImage</w:t>
      </w:r>
      <w:r>
        <w:t xml:space="preserve"> </w:t>
      </w:r>
      <w:r>
        <w:t xml:space="preserve">42 (2): 559–67.</w:t>
      </w:r>
      <w:r>
        <w:t xml:space="preserve"> </w:t>
      </w:r>
      <w:hyperlink r:id="rId54">
        <w:r>
          <w:rPr>
            <w:rStyle w:val="Hyperlink"/>
          </w:rPr>
          <w:t xml:space="preserve">http://www.sciencedirect.com/science/article/pii/S1053811908006447.</w:t>
        </w:r>
      </w:hyperlink>
    </w:p>
    <w:p>
      <w:pPr>
        <w:pStyle w:val="BodyText"/>
      </w:pPr>
      <w:r>
        <w:t xml:space="preserve">Whitwell, J L, K A Josephs, M E Murray, K Kantarci, S A Przybelski, S D Weigand, P Vemuri, et al. 2008.</w:t>
      </w:r>
      <w:r>
        <w:t xml:space="preserve"> </w:t>
      </w:r>
      <w:r>
        <w:t xml:space="preserve">“</w:t>
      </w:r>
      <w:r>
        <w:t xml:space="preserve">MRI Correlates of Neurofibrillary Tangle Pathology at Autopsy: a Voxel-Based Morphometry Study.</w:t>
      </w:r>
      <w:r>
        <w:t xml:space="preserve">”</w:t>
      </w:r>
      <w:r>
        <w:t xml:space="preserve">.</w:t>
      </w:r>
      <w:r>
        <w:t xml:space="preserve"> </w:t>
      </w:r>
      <w:r>
        <w:rPr>
          <w:i/>
        </w:rPr>
        <w:t xml:space="preserve">Neurology</w:t>
      </w:r>
      <w:r>
        <w:t xml:space="preserve"> </w:t>
      </w:r>
      <w:r>
        <w:t xml:space="preserve">71 (10): 743–49.</w:t>
      </w:r>
      <w:r>
        <w:t xml:space="preserve"> </w:t>
      </w:r>
      <w:hyperlink r:id="rId55">
        <w:r>
          <w:rPr>
            <w:rStyle w:val="Hyperlink"/>
          </w:rPr>
          <w:t xml:space="preserve">http://www.neurology.org/content/71/10/743.</w:t>
        </w:r>
      </w:hyperlink>
    </w:p>
    <w:p>
      <w:pPr>
        <w:pStyle w:val="BodyText"/>
      </w:pPr>
      <w:r>
        <w:t xml:space="preserve">Kuceyeski, Amy, Jun Maruta, Norman Relkin, and Ashish Raj. 2013.</w:t>
      </w:r>
      <w:r>
        <w:t xml:space="preserve"> </w:t>
      </w:r>
      <w:r>
        <w:t xml:space="preserve">“</w:t>
      </w:r>
      <w:r>
        <w:t xml:space="preserve">The Network Modification (NeMo) Tool: Elucidating the Effect of White Matter Integrity Changes on Cortical and Subcortical Structural Connectivity.</w:t>
      </w:r>
      <w:r>
        <w:t xml:space="preserve">”</w:t>
      </w:r>
      <w:r>
        <w:t xml:space="preserve">.</w:t>
      </w:r>
      <w:r>
        <w:t xml:space="preserve"> </w:t>
      </w:r>
      <w:r>
        <w:rPr>
          <w:i/>
        </w:rPr>
        <w:t xml:space="preserve">Brain Connectivity</w:t>
      </w:r>
      <w:r>
        <w:t xml:space="preserve"> </w:t>
      </w:r>
      <w:r>
        <w:t xml:space="preserve">3 (5): 451–63. doi:10.1089/brain.2013.0147.</w:t>
      </w:r>
    </w:p>
    <w:p>
      <w:pPr>
        <w:pStyle w:val="BodyText"/>
      </w:pPr>
      <w:r>
        <w:t xml:space="preserve">Fischl, Bruce, David H Salat, Evelina Busa, Marilyn Albert, Megan Dieterich, Christian Haselgrove, Andre van der Kouwe, et al. 2002.</w:t>
      </w:r>
      <w:r>
        <w:t xml:space="preserve"> </w:t>
      </w:r>
      <w:r>
        <w:t xml:space="preserve">“</w:t>
      </w:r>
      <w:r>
        <w:t xml:space="preserve">Whole Brain Segmentation: Automated Labeling of Neuroanatomical Structures in the Human Brain.</w:t>
      </w:r>
      <w:r>
        <w:t xml:space="preserve">”</w:t>
      </w:r>
      <w:r>
        <w:t xml:space="preserve">.</w:t>
      </w:r>
      <w:r>
        <w:t xml:space="preserve"> </w:t>
      </w:r>
      <w:r>
        <w:rPr>
          <w:i/>
        </w:rPr>
        <w:t xml:space="preserve">Neuron</w:t>
      </w:r>
      <w:r>
        <w:t xml:space="preserve"> </w:t>
      </w:r>
      <w:r>
        <w:t xml:space="preserve">33 (3): 341–55.</w:t>
      </w:r>
      <w:r>
        <w:t xml:space="preserve"> </w:t>
      </w:r>
      <w:hyperlink r:id="rId56">
        <w:r>
          <w:rPr>
            <w:rStyle w:val="Hyperlink"/>
          </w:rPr>
          <w:t xml:space="preserve">http://www.ncbi.nlm.nih.gov/pubmed/11832223.</w:t>
        </w:r>
      </w:hyperlink>
    </w:p>
    <w:p>
      <w:pPr>
        <w:pStyle w:val="BodyText"/>
      </w:pPr>
      <w:r>
        <w:t xml:space="preserve">Desikan, Rahul S, Mert R Sabuncu, Nicholas J Schmansky, Martin Reuter, Howard J Cabral, Christopher P Hess, Michael W Weiner, et al. 2010.</w:t>
      </w:r>
      <w:r>
        <w:t xml:space="preserve"> </w:t>
      </w:r>
      <w:r>
        <w:t xml:space="preserve">“</w:t>
      </w:r>
      <w:r>
        <w:t xml:space="preserve">Selective Disruption of the Cerebral Neocortex in Alzheimer’s Disease.</w:t>
      </w:r>
      <w:r>
        <w:t xml:space="preserve">”</w:t>
      </w:r>
      <w:r>
        <w:t xml:space="preserve">.</w:t>
      </w:r>
      <w:r>
        <w:t xml:space="preserve"> </w:t>
      </w:r>
      <w:r>
        <w:rPr>
          <w:i/>
        </w:rPr>
        <w:t xml:space="preserve">PloS One</w:t>
      </w:r>
      <w:r>
        <w:t xml:space="preserve"> </w:t>
      </w:r>
      <w:r>
        <w:t xml:space="preserve">5 (9): e12853.</w:t>
      </w:r>
      <w:r>
        <w:t xml:space="preserve"> </w:t>
      </w:r>
      <w:hyperlink r:id="rId57">
        <w:r>
          <w:rPr>
            <w:rStyle w:val="Hyperlink"/>
          </w:rPr>
          <w:t xml:space="preserve">http://www.pubmedcentral.nih.gov/articlerender.fcgi?artid=2944799{&amp;}tool=pmcentrez{&amp;}rendertype=abstract.</w:t>
        </w:r>
      </w:hyperlink>
    </w:p>
    <w:p>
      <w:pPr>
        <w:pStyle w:val="BodyText"/>
      </w:pPr>
      <w:r>
        <w:t xml:space="preserve">Torok, Justin, Pedro D Maia, Fon Powell, Sneha Pandya, and Ashish Raj. 2018.</w:t>
      </w:r>
      <w:r>
        <w:t xml:space="preserve"> </w:t>
      </w:r>
      <w:r>
        <w:t xml:space="preserve">“</w:t>
      </w:r>
      <w:r>
        <w:t xml:space="preserve">A Method for Inferring Regional Origins of Neurodegeneration</w:t>
      </w:r>
      <w:r>
        <w:t xml:space="preserve">”</w:t>
      </w:r>
      <w:r>
        <w:t xml:space="preserve">.</w:t>
      </w:r>
      <w:r>
        <w:t xml:space="preserve"> </w:t>
      </w:r>
      <w:r>
        <w:rPr>
          <w:i/>
        </w:rPr>
        <w:t xml:space="preserve">Brain</w:t>
      </w:r>
      <w:r>
        <w:t xml:space="preserve"> </w:t>
      </w:r>
      <w:r>
        <w:t xml:space="preserve">141 (3): 863–76. doi:10.1093/brain/awx371.</w:t>
      </w:r>
    </w:p>
    <w:p>
      <w:pPr>
        <w:pStyle w:val="BodyText"/>
      </w:pPr>
      <w:r>
        <w:t xml:space="preserve">Trojanowski, John Q, Hugo Vandeerstichele, Magdalena Korecka, Christopher M Clark, Paul S Aisen, Ronald C Petersen, Kaj Blennow, et al. 2010.</w:t>
      </w:r>
      <w:r>
        <w:t xml:space="preserve"> </w:t>
      </w:r>
      <w:r>
        <w:t xml:space="preserve">“</w:t>
      </w:r>
      <w:r>
        <w:t xml:space="preserve">Update on the Biomarker Core of the Alzheimer’s Disease Neuroimaging Initiative Subjects.</w:t>
      </w:r>
      <w:r>
        <w:t xml:space="preserve">”</w:t>
      </w:r>
      <w:r>
        <w:t xml:space="preserve">.</w:t>
      </w:r>
      <w:r>
        <w:t xml:space="preserve"> </w:t>
      </w:r>
      <w:r>
        <w:rPr>
          <w:i/>
        </w:rPr>
        <w:t xml:space="preserve">Alzheimer’s</w:t>
      </w:r>
      <w:r>
        <w:rPr>
          <w:i/>
        </w:rPr>
        <w:t xml:space="preserve"> </w:t>
      </w:r>
      <w:r>
        <w:rPr>
          <w:i/>
        </w:rPr>
        <w:t xml:space="preserve">&amp;</w:t>
      </w:r>
      <w:r>
        <w:rPr>
          <w:i/>
        </w:rPr>
        <w:t xml:space="preserve"> </w:t>
      </w:r>
      <w:r>
        <w:rPr>
          <w:i/>
        </w:rPr>
        <w:t xml:space="preserve">Dementia : the Journal of the Alzheimer’s Association</w:t>
      </w:r>
      <w:r>
        <w:t xml:space="preserve"> </w:t>
      </w:r>
      <w:r>
        <w:t xml:space="preserve">6 (3): 230–38. doi:10.1016/j.jalz.2010.03.008.</w:t>
      </w:r>
    </w:p>
    <w:p>
      <w:pPr>
        <w:pStyle w:val="BodyText"/>
      </w:pPr>
      <w:r>
        <w:t xml:space="preserve">Jack Jr</w:t>
      </w:r>
      <w:r>
        <w:t xml:space="preserve">, Clifford R, David S Knopman, William J Jagust, Leslie M Shaw, Paul S Aisen, Michael W Weiner, Ronald C Petersen, and John Q Trojanowski. 2010.</w:t>
      </w:r>
      <w:r>
        <w:t xml:space="preserve"> </w:t>
      </w:r>
      <w:r>
        <w:t xml:space="preserve">“</w:t>
      </w:r>
      <w:r>
        <w:t xml:space="preserve">Hypothetical Model of Dynamic Biomarkers of the Alzheimer’s Pathological Cascade</w:t>
      </w:r>
      <w:r>
        <w:t xml:space="preserve">”</w:t>
      </w:r>
      <w:r>
        <w:t xml:space="preserve">.</w:t>
      </w:r>
      <w:r>
        <w:t xml:space="preserve"> </w:t>
      </w:r>
      <w:r>
        <w:rPr>
          <w:i/>
        </w:rPr>
        <w:t xml:space="preserve">The Lancet Neurology</w:t>
      </w:r>
      <w:r>
        <w:t xml:space="preserve"> </w:t>
      </w:r>
      <w:r>
        <w:t xml:space="preserve">9 (1): 119–28. doi:10.1016/S1474-4422(09)70299-6.</w:t>
      </w:r>
    </w:p>
    <w:p>
      <w:pPr>
        <w:pStyle w:val="BodyText"/>
      </w:pPr>
      <w:r>
        <w:t xml:space="preserve">Dickerson, Bradford C, and David A Wolk. 2013.</w:t>
      </w:r>
      <w:r>
        <w:t xml:space="preserve"> </w:t>
      </w:r>
      <w:r>
        <w:t xml:space="preserve">“</w:t>
      </w:r>
      <w:r>
        <w:t xml:space="preserve">Biomarker-Based Prediction of Progression in MCI: Comparison of AD Signature and Hippocampal Volume with Spinal Fluid Amyloid-</w:t>
      </w:r>
      <w:r>
        <w:t xml:space="preserve">$\Beta$</w:t>
      </w:r>
      <w:r>
        <w:t xml:space="preserve"> </w:t>
      </w:r>
      <w:r>
        <w:t xml:space="preserve">and Tau.</w:t>
      </w:r>
      <w:r>
        <w:t xml:space="preserve">”</w:t>
      </w:r>
      <w:r>
        <w:t xml:space="preserve">.</w:t>
      </w:r>
      <w:r>
        <w:t xml:space="preserve"> </w:t>
      </w:r>
      <w:r>
        <w:rPr>
          <w:i/>
        </w:rPr>
        <w:t xml:space="preserve">Frontiers in Aging Neuroscience</w:t>
      </w:r>
      <w:r>
        <w:t xml:space="preserve"> </w:t>
      </w:r>
      <w:r>
        <w:t xml:space="preserve">5 (January): 55.</w:t>
      </w:r>
      <w:r>
        <w:t xml:space="preserve"> </w:t>
      </w:r>
      <w:hyperlink r:id="rId58">
        <w:r>
          <w:rPr>
            <w:rStyle w:val="Hyperlink"/>
          </w:rPr>
          <w:t xml:space="preserve">http://www.pubmedcentral.nih.gov/articlerender.fcgi?artid=3795312{&amp;}tool=pmcentrez{&amp;}rendertype=abstract.</w:t>
        </w:r>
      </w:hyperlink>
    </w:p>
    <w:p>
      <w:pPr>
        <w:pStyle w:val="BodyText"/>
      </w:pPr>
      <w:r>
        <w:t xml:space="preserve">Drake, R. L. 1972.</w:t>
      </w:r>
      <w:r>
        <w:t xml:space="preserve"> </w:t>
      </w:r>
      <w:r>
        <w:t xml:space="preserve">“</w:t>
      </w:r>
      <w:r>
        <w:t xml:space="preserve">A General Mathematical Survey of the Coagulation Equation</w:t>
      </w:r>
      <w:r>
        <w:t xml:space="preserve">”</w:t>
      </w:r>
      <w:r>
        <w:t xml:space="preserve">. In</w:t>
      </w:r>
      <w:r>
        <w:t xml:space="preserve"> </w:t>
      </w:r>
      <w:r>
        <w:rPr>
          <w:i/>
        </w:rPr>
        <w:t xml:space="preserve">Topics in Current Aerosol Research (Part 2), International Reviews in Aerosol Physics and Chemistry</w:t>
      </w:r>
      <w:r>
        <w:t xml:space="preserve">, 203–376. Oxford, UK: Pergamon Press.</w:t>
      </w:r>
    </w:p>
    <w:p>
      <w:pPr>
        <w:pStyle w:val="BodyText"/>
      </w:pPr>
      <w:r>
        <w:t xml:space="preserve">Hartman, P. 1964.</w:t>
      </w:r>
      <w:r>
        <w:t xml:space="preserve"> </w:t>
      </w:r>
      <w:r>
        <w:rPr>
          <w:i/>
        </w:rPr>
        <w:t xml:space="preserve">Ordinary Differential Equations</w:t>
      </w:r>
      <w:r>
        <w:t xml:space="preserve">. John Wiley &amp; Sons, Inc., New York-London-Sydney.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75aedd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c678fac1"/>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99731">
    <w:nsid w:val="3cca0a06"/>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abstractNum>
  <w:num w:numId="1">
    <w:abstractNumId w:val="0"/>
  </w:num>
  <w:num w:numId="1000">
    <w:abstractNumId w:val="990"/>
  </w:num>
  <w:num w:numId="1001">
    <w:abstractNumId w:val="991"/>
  </w:num>
  <w:num w:numId="1002">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3">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1" Target="media/rId31.tiff" /><Relationship Type="http://schemas.openxmlformats.org/officeDocument/2006/relationships/image" Id="rId32" Target="media/rId32.pdf" /><Relationship Type="http://schemas.openxmlformats.org/officeDocument/2006/relationships/image" Id="rId33" Target="media/rId33.pdf" /><Relationship Type="http://schemas.openxmlformats.org/officeDocument/2006/relationships/image" Id="rId34" Target="media/rId34.pdf" /><Relationship Type="http://schemas.openxmlformats.org/officeDocument/2006/relationships/image" Id="rId43" Target="media/rId43.pdf" /><Relationship Type="http://schemas.openxmlformats.org/officeDocument/2006/relationships/hyperlink" Id="rId50" Target="http://dx.doi.org/10.1038/nrn2786." TargetMode="External" /><Relationship Type="http://schemas.openxmlformats.org/officeDocument/2006/relationships/hyperlink" Id="rId56" Target="http://www.ncbi.nlm.nih.gov/pubmed/11832223." TargetMode="External" /><Relationship Type="http://schemas.openxmlformats.org/officeDocument/2006/relationships/hyperlink" Id="rId49" Target="http://www.ncbi.nlm.nih.gov/pubmed/12084879." TargetMode="External" /><Relationship Type="http://schemas.openxmlformats.org/officeDocument/2006/relationships/hyperlink" Id="rId53" Target="http://www.ncbi.nlm.nih.gov/pubmed/23411393." TargetMode="External" /><Relationship Type="http://schemas.openxmlformats.org/officeDocument/2006/relationships/hyperlink" Id="rId51" Target="http://www.ncbi.nlm.nih.gov/pubmed/26150341." TargetMode="External" /><Relationship Type="http://schemas.openxmlformats.org/officeDocument/2006/relationships/hyperlink" Id="rId55" Target="http://www.neurology.org/content/71/10/743." TargetMode="External" /><Relationship Type="http://schemas.openxmlformats.org/officeDocument/2006/relationships/hyperlink" Id="rId57" Target="http://www.pubmedcentral.nih.gov/articlerender.fcgi?artid=2944799{&amp;}tool=pmcentrez{&amp;}rendertype=abstract." TargetMode="External" /><Relationship Type="http://schemas.openxmlformats.org/officeDocument/2006/relationships/hyperlink" Id="rId52" Target="http://www.pubmedcentral.nih.gov/articlerender.fcgi?artid=3219874{&amp;}tool=pmcentrez{&amp;}rendertype=abstract." TargetMode="External" /><Relationship Type="http://schemas.openxmlformats.org/officeDocument/2006/relationships/hyperlink" Id="rId58" Target="http://www.pubmedcentral.nih.gov/articlerender.fcgi?artid=3795312{&amp;}tool=pmcentrez{&amp;}rendertype=abstract." TargetMode="External" /><Relationship Type="http://schemas.openxmlformats.org/officeDocument/2006/relationships/hyperlink" Id="rId54" Target="http://www.sciencedirect.com/science/article/pii/S1053811908006447." TargetMode="External" /></Relationships>
</file>

<file path=word/_rels/footnotes.xml.rels><?xml version="1.0" encoding="UTF-8"?>
<Relationships xmlns="http://schemas.openxmlformats.org/package/2006/relationships"><Relationship Type="http://schemas.openxmlformats.org/officeDocument/2006/relationships/hyperlink" Id="rId50" Target="http://dx.doi.org/10.1038/nrn2786." TargetMode="External" /><Relationship Type="http://schemas.openxmlformats.org/officeDocument/2006/relationships/hyperlink" Id="rId56" Target="http://www.ncbi.nlm.nih.gov/pubmed/11832223." TargetMode="External" /><Relationship Type="http://schemas.openxmlformats.org/officeDocument/2006/relationships/hyperlink" Id="rId49" Target="http://www.ncbi.nlm.nih.gov/pubmed/12084879." TargetMode="External" /><Relationship Type="http://schemas.openxmlformats.org/officeDocument/2006/relationships/hyperlink" Id="rId53" Target="http://www.ncbi.nlm.nih.gov/pubmed/23411393." TargetMode="External" /><Relationship Type="http://schemas.openxmlformats.org/officeDocument/2006/relationships/hyperlink" Id="rId51" Target="http://www.ncbi.nlm.nih.gov/pubmed/26150341." TargetMode="External" /><Relationship Type="http://schemas.openxmlformats.org/officeDocument/2006/relationships/hyperlink" Id="rId55" Target="http://www.neurology.org/content/71/10/743." TargetMode="External" /><Relationship Type="http://schemas.openxmlformats.org/officeDocument/2006/relationships/hyperlink" Id="rId57" Target="http://www.pubmedcentral.nih.gov/articlerender.fcgi?artid=2944799{&amp;}tool=pmcentrez{&amp;}rendertype=abstract." TargetMode="External" /><Relationship Type="http://schemas.openxmlformats.org/officeDocument/2006/relationships/hyperlink" Id="rId52" Target="http://www.pubmedcentral.nih.gov/articlerender.fcgi?artid=3219874{&amp;}tool=pmcentrez{&amp;}rendertype=abstract." TargetMode="External" /><Relationship Type="http://schemas.openxmlformats.org/officeDocument/2006/relationships/hyperlink" Id="rId58" Target="http://www.pubmedcentral.nih.gov/articlerender.fcgi?artid=3795312{&amp;}tool=pmcentrez{&amp;}rendertype=abstract." TargetMode="External" /><Relationship Type="http://schemas.openxmlformats.org/officeDocument/2006/relationships/hyperlink" Id="rId54" Target="http://www.sciencedirect.com/science/article/pii/S105381190800644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combined model for aggregation and network diffusion in Alzheimer’s disease recapitulates regional human tau-PET patterns</dc:title>
  <dc:creator>ashish raj</dc:creator>
  <dcterms:created xsi:type="dcterms:W3CDTF">2018-05-28T03:43:49Z</dcterms:created>
  <dcterms:modified xsi:type="dcterms:W3CDTF">2018-05-28T03:43:49Z</dcterms:modified>
</cp:coreProperties>
</file>