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Book Antiqua" w:hAnsi="Book Antiqua" w:cs="Book Antiqua"/>
          <w:lang w:val="en-US" w:eastAsia="zh-CN"/>
        </w:rPr>
      </w:pPr>
      <w:r>
        <w:rPr>
          <w:rFonts w:hint="default" w:ascii="Book Antiqua" w:hAnsi="Book Antiqua" w:cs="Book Antiqua"/>
          <w:b/>
          <w:bCs/>
          <w:lang w:val="en-US" w:eastAsia="zh-CN"/>
        </w:rPr>
        <w:t xml:space="preserve">Table I </w:t>
      </w:r>
    </w:p>
    <w:p>
      <w:pPr>
        <w:rPr>
          <w:rFonts w:hint="default" w:ascii="Book Antiqua" w:hAnsi="Book Antiqua" w:cs="Book Antiqua"/>
          <w:lang w:val="en-US" w:eastAsia="zh-CN"/>
        </w:rPr>
      </w:pPr>
      <w:r>
        <w:rPr>
          <w:rFonts w:hint="default" w:ascii="Book Antiqua" w:hAnsi="Book Antiqua" w:cs="Book Antiqua"/>
          <w:lang w:val="en-US" w:eastAsia="zh-CN"/>
        </w:rPr>
        <w:t>Clinicopathological characteristics of the whole cohort</w:t>
      </w:r>
    </w:p>
    <w:tbl>
      <w:tblPr>
        <w:tblStyle w:val="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91"/>
        <w:gridCol w:w="21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Characteristic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Patients(n=612)[%]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Sex</w:t>
            </w:r>
          </w:p>
        </w:tc>
        <w:tc>
          <w:tcPr>
            <w:tcW w:w="0" w:type="auto"/>
            <w:tcBorders>
              <w:top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Male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352[57.5]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Female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260[42.5]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Age median(range)(year)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61(31-82)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CA19-9 median(range) (U/ml)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156.25(0.6-178850.00)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CEA median(range) (ng/ml)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3.3550(0.20-3032.00)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CA242 median(range) (U/ml)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19.64(0.19-11237.00)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Tumor location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Head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416[68]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Body and tail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196[32]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Surgery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Pancreaticoduodenectomy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414[67.6]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Distal pancreatectomy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195[31.9]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Total pancreatectomy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3[0.5]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TNM stage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I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233[38.1]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II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285[46.6]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III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94[15.4]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T stage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T1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99[16.2]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T2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323[52.8]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T3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175[28.6]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T4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15[2.5]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N stage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N0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343[56.0]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N1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191[31.2]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N2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78[12.7]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Histology grade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Low grade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264[43.1]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 Well differentiation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23[3.8]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 Moderate differentiation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241[39.4]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High grade 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348[56.9]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 Poor differentiation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348[56.9]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 Undifferentiation 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Perineural invasion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No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249[40.7]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Yes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363[59.3]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Lymphovascular invasion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No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458[74.8]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Yes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154[25.2]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Chemotherapy regime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None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311[50.8]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GS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80[26.6]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GEMOX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68[22.6]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GEM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61[20.3]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AG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33[11]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S-1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47[15.6]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 xml:space="preserve"> FOLFIRINOX</w:t>
            </w:r>
          </w:p>
        </w:tc>
        <w:tc>
          <w:tcPr>
            <w:tcW w:w="0" w:type="auto"/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12[4.0]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bottom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Overall survival median(range)(months)</w:t>
            </w:r>
          </w:p>
        </w:tc>
        <w:tc>
          <w:tcPr>
            <w:tcW w:w="0" w:type="auto"/>
            <w:tcBorders>
              <w:bottom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Book Antiqua" w:hAnsi="Book Antiqua" w:cs="Book Antiqua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vertAlign w:val="baseline"/>
                <w:lang w:val="en-US" w:eastAsia="zh-CN"/>
              </w:rPr>
              <w:t>18(6-126)</w:t>
            </w:r>
          </w:p>
        </w:tc>
      </w:tr>
    </w:tbl>
    <w:p>
      <w:pPr>
        <w:jc w:val="both"/>
        <w:rPr>
          <w:rFonts w:hint="default" w:ascii="Book Antiqua" w:hAnsi="Book Antiqua" w:cs="Book Antiqua"/>
          <w:lang w:val="en-US" w:eastAsia="zh-CN"/>
        </w:rPr>
      </w:pPr>
      <w:r>
        <w:rPr>
          <w:rFonts w:hint="default" w:ascii="Book Antiqua" w:hAnsi="Book Antiqua" w:cs="Book Antiqua"/>
          <w:lang w:val="en-US" w:eastAsia="zh-CN"/>
        </w:rPr>
        <w:t>CA19-9:carbohydrate antigen 19-9;CEA:carcinoembryonic antigen;CA242:carbohydrate antigen 242; TNM stage:the tumor, node and metastasis staging system; GS: gemcitabine and S-1; GEMOX: gemcitabine and oxaliplatin; GEM: gemcitabine; AG: albumin-bound paclitaxel and gemcitabine; FOLFIRINOX:a combination therapy consisting of 5-FU/leucovorin plus oxaliplatin and irinotecan.</w:t>
      </w:r>
    </w:p>
    <w:p>
      <w:pPr>
        <w:rPr>
          <w:rFonts w:hint="default" w:ascii="Book Antiqua" w:hAnsi="Book Antiqua" w:cs="Book Antiqua"/>
          <w:lang w:val="en-US" w:eastAsia="zh-CN"/>
        </w:rPr>
      </w:pPr>
    </w:p>
    <w:p>
      <w:pPr>
        <w:rPr>
          <w:rFonts w:hint="default" w:ascii="Book Antiqua" w:hAnsi="Book Antiqua" w:cs="Book Antiqua"/>
          <w:sz w:val="24"/>
          <w:szCs w:val="24"/>
        </w:rPr>
      </w:pPr>
      <w:r>
        <w:rPr>
          <w:rFonts w:hint="default" w:ascii="Book Antiqua" w:hAnsi="Book Antiqua" w:cs="Book Antiqua"/>
          <w:lang w:val="en-US" w:eastAsia="zh-CN"/>
        </w:rPr>
        <w:br w:type="page"/>
      </w:r>
    </w:p>
    <w:p>
      <w:pPr>
        <w:spacing w:beforeLines="0" w:afterLines="0"/>
        <w:jc w:val="left"/>
        <w:rPr>
          <w:rFonts w:hint="default" w:ascii="Book Antiqua" w:hAnsi="Book Antiqua" w:cs="Book Antiqua"/>
          <w:sz w:val="24"/>
          <w:szCs w:val="24"/>
          <w:lang w:val="en-US" w:eastAsia="zh-CN"/>
        </w:rPr>
      </w:pPr>
      <w:r>
        <w:rPr>
          <w:rFonts w:hint="default" w:ascii="Book Antiqua" w:hAnsi="Book Antiqua" w:cs="Book Antiqua"/>
          <w:b/>
          <w:bCs/>
          <w:sz w:val="24"/>
          <w:szCs w:val="24"/>
          <w:lang w:val="en-US" w:eastAsia="zh-CN"/>
        </w:rPr>
        <w:t>Table II</w:t>
      </w:r>
      <w:r>
        <w:rPr>
          <w:rFonts w:hint="default" w:ascii="Book Antiqua" w:hAnsi="Book Antiqua" w:cs="Book Antiqua"/>
          <w:sz w:val="24"/>
          <w:szCs w:val="24"/>
          <w:lang w:val="en-US" w:eastAsia="zh-CN"/>
        </w:rPr>
        <w:t xml:space="preserve"> </w:t>
      </w:r>
    </w:p>
    <w:p>
      <w:pPr>
        <w:spacing w:beforeLines="0" w:afterLines="0"/>
        <w:jc w:val="left"/>
        <w:rPr>
          <w:rFonts w:hint="default" w:ascii="Book Antiqua" w:hAnsi="Book Antiqua" w:cs="Book Antiqua"/>
          <w:sz w:val="24"/>
          <w:szCs w:val="24"/>
          <w:lang w:val="en-US" w:eastAsia="zh-CN"/>
        </w:rPr>
      </w:pPr>
      <w:r>
        <w:rPr>
          <w:rFonts w:hint="default" w:ascii="Book Antiqua" w:hAnsi="Book Antiqua" w:cs="Book Antiqua"/>
          <w:sz w:val="24"/>
          <w:szCs w:val="24"/>
          <w:lang w:val="en-US" w:eastAsia="zh-CN"/>
        </w:rPr>
        <w:t>Univariate and multivariate survival analysis of all the patients with PDAC</w:t>
      </w:r>
    </w:p>
    <w:tbl>
      <w:tblPr>
        <w:tblStyle w:val="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4"/>
        <w:gridCol w:w="477"/>
        <w:gridCol w:w="697"/>
        <w:gridCol w:w="1622"/>
        <w:gridCol w:w="807"/>
        <w:gridCol w:w="254"/>
        <w:gridCol w:w="1522"/>
        <w:gridCol w:w="7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0" w:type="auto"/>
            <w:vMerge w:val="restart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Characteristics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n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5-year</w:t>
            </w:r>
          </w:p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OS(%)</w:t>
            </w:r>
          </w:p>
        </w:tc>
        <w:tc>
          <w:tcPr>
            <w:tcW w:w="2323" w:type="dxa"/>
            <w:gridSpan w:val="2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Univariate analysis</w:t>
            </w:r>
          </w:p>
        </w:tc>
        <w:tc>
          <w:tcPr>
            <w:tcW w:w="243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Multivariate analysis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0" w:type="auto"/>
            <w:vMerge w:val="continue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HR(95% CI)</w:t>
            </w:r>
          </w:p>
        </w:tc>
        <w:tc>
          <w:tcPr>
            <w:tcW w:w="725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P</w:t>
            </w:r>
          </w:p>
        </w:tc>
        <w:tc>
          <w:tcPr>
            <w:tcW w:w="243" w:type="dxa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HR(95% CI)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2294" w:type="dxa"/>
            <w:tcBorders>
              <w:top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Sex</w:t>
            </w:r>
          </w:p>
        </w:tc>
        <w:tc>
          <w:tcPr>
            <w:tcW w:w="6083" w:type="dxa"/>
            <w:gridSpan w:val="7"/>
            <w:tcBorders>
              <w:top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 xml:space="preserve"> Male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352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18.5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1(ref)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 xml:space="preserve"> Female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260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18.6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1.118(0.92-1.358)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0.264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Age at surgery(year)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 xml:space="preserve"> &lt;70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525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19.9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1(ref)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1(ref)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≥</w:t>
            </w: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70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87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9.2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1.430(1.010-1.857)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0.007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1.546(1.184-2.020)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0.001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CA199 (U/ml)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≤</w:t>
            </w: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112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252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22.6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1(ref)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1(ref)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 xml:space="preserve"> &gt;112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360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15.9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1.458(1.196-1.778)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&lt;0.001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1.355(1.098-1.671)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0.005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CEA (ng/ml)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≤</w:t>
            </w: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5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432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21.7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1(ref)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1(ref)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 xml:space="preserve"> &gt;5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180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12.2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1.412(1.146-1.740)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0.001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1.199(0.956-1.504)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0.116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Postoperative chemotherapy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 xml:space="preserve"> Yes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301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24.2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1(ref)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1(ref)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 xml:space="preserve"> No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311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14.1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1.664(1.372-2.018)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&lt;0.001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1.696(1.396-2.061)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&lt;0.001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TNM stage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 xml:space="preserve"> I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233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28.2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1(ref)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1(ref)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 xml:space="preserve"> II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285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14.9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1.531(1.235-1.897)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&lt;0.001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1.440(1.153-1.798)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0.001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 xml:space="preserve"> III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94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7.7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2.279(1.720-3.019)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&lt;0.001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2.140(1.565-2.925)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&lt;0.001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Histology grade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 xml:space="preserve"> Low grade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264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23.5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1(ref)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1(ref)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 xml:space="preserve"> High grade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348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15.7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1.642(1.348-1.999)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&lt;0.001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1.545(1.265-1.887)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&lt;0.001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Tumor location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 xml:space="preserve"> Head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416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19.6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1(ref)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 xml:space="preserve"> Body and tail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196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18.2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0.998(0.811-1.227)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0.983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Perineural invasion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 xml:space="preserve"> No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249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25.3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1(ref)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1(ref)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 xml:space="preserve"> Yes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363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13.3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1.222(1.004-1.487)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0.046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1.014(0.827-1.243)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0.895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Lymphovascular invasion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 xml:space="preserve"> No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458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20.9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1(ref)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1(ref)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0" w:type="auto"/>
            <w:tcBorders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 xml:space="preserve"> Yes</w:t>
            </w:r>
          </w:p>
        </w:tc>
        <w:tc>
          <w:tcPr>
            <w:tcW w:w="0" w:type="auto"/>
            <w:tcBorders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154</w:t>
            </w:r>
          </w:p>
        </w:tc>
        <w:tc>
          <w:tcPr>
            <w:tcW w:w="0" w:type="auto"/>
            <w:tcBorders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14</w:t>
            </w:r>
          </w:p>
        </w:tc>
        <w:tc>
          <w:tcPr>
            <w:tcW w:w="0" w:type="auto"/>
            <w:tcBorders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1.432(1.155-1.774)</w:t>
            </w:r>
          </w:p>
        </w:tc>
        <w:tc>
          <w:tcPr>
            <w:tcW w:w="0" w:type="auto"/>
            <w:tcBorders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0.001</w:t>
            </w:r>
          </w:p>
        </w:tc>
        <w:tc>
          <w:tcPr>
            <w:tcW w:w="0" w:type="auto"/>
            <w:tcBorders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tcBorders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1.101(0.867-1.397)</w:t>
            </w:r>
          </w:p>
        </w:tc>
        <w:tc>
          <w:tcPr>
            <w:tcW w:w="0" w:type="auto"/>
            <w:tcBorders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0.430</w:t>
            </w:r>
          </w:p>
        </w:tc>
      </w:tr>
    </w:tbl>
    <w:p>
      <w:pPr>
        <w:spacing w:beforeLines="0" w:afterLines="0"/>
        <w:jc w:val="both"/>
        <w:rPr>
          <w:rFonts w:hint="default" w:ascii="Book Antiqua" w:hAnsi="Book Antiqua" w:cs="Book Antiqua"/>
          <w:sz w:val="24"/>
          <w:szCs w:val="24"/>
          <w:lang w:val="en-US" w:eastAsia="zh-CN"/>
        </w:rPr>
      </w:pPr>
      <w:r>
        <w:rPr>
          <w:rFonts w:hint="default" w:ascii="Book Antiqua" w:hAnsi="Book Antiqua" w:cs="Book Antiqua"/>
          <w:lang w:val="en-US" w:eastAsia="zh-CN"/>
        </w:rPr>
        <w:t>Low grade: well and moderate differentiation; high grade: poor differentiation and undifferentiation; OS: overall survival; HR: hazard ratio; 95% CI:95% confidence interval.</w:t>
      </w:r>
    </w:p>
    <w:p>
      <w:pPr>
        <w:spacing w:beforeLines="0" w:afterLines="0" w:line="400" w:lineRule="atLeast"/>
        <w:jc w:val="left"/>
        <w:rPr>
          <w:rFonts w:hint="default" w:ascii="Book Antiqua" w:hAnsi="Book Antiqua" w:eastAsia="宋体" w:cs="Book Antiqua"/>
          <w:sz w:val="24"/>
          <w:szCs w:val="24"/>
          <w:lang w:val="en-US" w:eastAsia="zh-CN"/>
        </w:rPr>
      </w:pPr>
    </w:p>
    <w:p>
      <w:pPr>
        <w:spacing w:beforeLines="0" w:afterLines="0"/>
        <w:jc w:val="left"/>
        <w:rPr>
          <w:rFonts w:hint="default" w:ascii="Book Antiqua" w:hAnsi="Book Antiqua" w:cs="Book Antiqua"/>
          <w:lang w:val="en-US" w:eastAsia="zh-CN"/>
        </w:rPr>
      </w:pPr>
      <w:r>
        <w:rPr>
          <w:rFonts w:hint="default" w:ascii="Book Antiqua" w:hAnsi="Book Antiqua" w:cs="Book Antiqua"/>
          <w:b/>
          <w:bCs/>
          <w:lang w:val="en-US" w:eastAsia="zh-CN"/>
        </w:rPr>
        <w:t>Table III</w:t>
      </w:r>
      <w:r>
        <w:rPr>
          <w:rFonts w:hint="default" w:ascii="Book Antiqua" w:hAnsi="Book Antiqua" w:cs="Book Antiqua"/>
          <w:lang w:val="en-US" w:eastAsia="zh-CN"/>
        </w:rPr>
        <w:t xml:space="preserve">  </w:t>
      </w:r>
    </w:p>
    <w:p>
      <w:pPr>
        <w:spacing w:beforeLines="0" w:afterLines="0"/>
        <w:jc w:val="left"/>
        <w:rPr>
          <w:rFonts w:hint="default" w:ascii="Book Antiqua" w:hAnsi="Book Antiqua" w:cs="Book Antiqua"/>
          <w:lang w:val="en-US" w:eastAsia="zh-CN"/>
        </w:rPr>
      </w:pPr>
      <w:r>
        <w:rPr>
          <w:rFonts w:hint="default" w:ascii="Book Antiqua" w:hAnsi="Book Antiqua" w:cs="Book Antiqua"/>
          <w:lang w:val="en-US" w:eastAsia="zh-CN"/>
        </w:rPr>
        <w:t>Multivariate survival analyses of all PDAC patients after including biological risk and mTNM,respectively</w:t>
      </w:r>
    </w:p>
    <w:tbl>
      <w:tblPr>
        <w:tblStyle w:val="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3"/>
        <w:gridCol w:w="1520"/>
        <w:gridCol w:w="554"/>
        <w:gridCol w:w="941"/>
        <w:gridCol w:w="645"/>
        <w:gridCol w:w="222"/>
        <w:gridCol w:w="708"/>
        <w:gridCol w:w="1204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0" w:type="auto"/>
            <w:gridSpan w:val="2"/>
            <w:vMerge w:val="restart"/>
            <w:tcBorders>
              <w:top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Factors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bookmarkStart w:id="0" w:name="OLE_LINK1"/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 xml:space="preserve">Multivariate analysis </w:t>
            </w:r>
          </w:p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(include biological risk)</w:t>
            </w:r>
            <w:bookmarkEnd w:id="0"/>
          </w:p>
        </w:tc>
        <w:tc>
          <w:tcPr>
            <w:tcW w:w="0" w:type="auto"/>
            <w:tcBorders>
              <w:top w:val="single" w:color="000000" w:sz="4" w:space="0"/>
              <w:bottom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 xml:space="preserve">Multivariate analysis </w:t>
            </w:r>
          </w:p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(both include mTNM and biological risk)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0" w:type="auto"/>
            <w:gridSpan w:val="2"/>
            <w:vMerge w:val="continue"/>
            <w:tcBorders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HR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95%CI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P</w:t>
            </w:r>
          </w:p>
        </w:tc>
        <w:tc>
          <w:tcPr>
            <w:tcW w:w="0" w:type="auto"/>
            <w:tcBorders>
              <w:top w:val="nil"/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HR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95%CI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Age(year)</w:t>
            </w:r>
          </w:p>
        </w:tc>
        <w:tc>
          <w:tcPr>
            <w:tcW w:w="0" w:type="auto"/>
            <w:tcBorders>
              <w:top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&lt;70/</w:t>
            </w: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≥</w:t>
            </w: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1.522</w:t>
            </w:r>
          </w:p>
        </w:tc>
        <w:tc>
          <w:tcPr>
            <w:tcW w:w="0" w:type="auto"/>
            <w:tcBorders>
              <w:top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1.165-1.988</w:t>
            </w:r>
          </w:p>
        </w:tc>
        <w:tc>
          <w:tcPr>
            <w:tcW w:w="0" w:type="auto"/>
            <w:tcBorders>
              <w:top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0.002</w:t>
            </w:r>
          </w:p>
        </w:tc>
        <w:tc>
          <w:tcPr>
            <w:tcW w:w="0" w:type="auto"/>
            <w:tcBorders>
              <w:top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1.516</w:t>
            </w:r>
          </w:p>
        </w:tc>
        <w:tc>
          <w:tcPr>
            <w:tcW w:w="0" w:type="auto"/>
            <w:tcBorders>
              <w:top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1.162-1.977</w:t>
            </w:r>
          </w:p>
        </w:tc>
        <w:tc>
          <w:tcPr>
            <w:tcW w:w="0" w:type="auto"/>
            <w:tcBorders>
              <w:top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0.002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CA19-9(U/ml)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112/&gt;112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0.899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0.572-1.416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0.647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-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-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CEA(ng/ml))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5/&gt;5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1.221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0.974-1.531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0.084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1.173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0.940-1.463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0.158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Histology grade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Low/High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1.021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0.651-1.603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0.926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-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-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TNM stage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I/II/III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1.458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1.253-1.697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&lt;0.001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1.140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0.874-1.487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0.333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Perineural invasion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No/Yes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0.998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0.814-1.223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0.985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0.986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0.804-1.209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0.891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Lymphvascular invasion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No/Yes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1.073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0.848-1.359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0.557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1.072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0.847-1.357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0.563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Postoperative chemotherapy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Yes/No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1.687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1.389-2.049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&lt;0.001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1.668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1.373-2.026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&lt;0.001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Biological risk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Low/Middle/High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1.342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1.004-1.795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0.047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1.136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0.970-1.330</w:t>
            </w:r>
          </w:p>
        </w:tc>
        <w:tc>
          <w:tcPr>
            <w:tcW w:w="0" w:type="auto"/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0.112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mTNM stage</w:t>
            </w:r>
          </w:p>
        </w:tc>
        <w:tc>
          <w:tcPr>
            <w:tcW w:w="0" w:type="auto"/>
            <w:tcBorders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mI/mII/mIII</w:t>
            </w:r>
          </w:p>
        </w:tc>
        <w:tc>
          <w:tcPr>
            <w:tcW w:w="0" w:type="auto"/>
            <w:tcBorders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-</w:t>
            </w:r>
          </w:p>
        </w:tc>
        <w:tc>
          <w:tcPr>
            <w:tcW w:w="0" w:type="auto"/>
            <w:tcBorders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-</w:t>
            </w:r>
          </w:p>
        </w:tc>
        <w:tc>
          <w:tcPr>
            <w:tcW w:w="0" w:type="auto"/>
            <w:tcBorders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-</w:t>
            </w:r>
          </w:p>
        </w:tc>
        <w:tc>
          <w:tcPr>
            <w:tcW w:w="0" w:type="auto"/>
            <w:tcBorders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</w:p>
        </w:tc>
        <w:tc>
          <w:tcPr>
            <w:tcW w:w="0" w:type="auto"/>
            <w:tcBorders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1.389</w:t>
            </w:r>
          </w:p>
        </w:tc>
        <w:tc>
          <w:tcPr>
            <w:tcW w:w="0" w:type="auto"/>
            <w:tcBorders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1.041-1.853</w:t>
            </w:r>
          </w:p>
        </w:tc>
        <w:tc>
          <w:tcPr>
            <w:tcW w:w="0" w:type="auto"/>
            <w:tcBorders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5"/>
                <w:szCs w:val="15"/>
                <w:lang w:val="en-US" w:eastAsia="zh-CN"/>
              </w:rPr>
              <w:t>0.025</w:t>
            </w:r>
          </w:p>
        </w:tc>
      </w:tr>
    </w:tbl>
    <w:p>
      <w:pPr>
        <w:spacing w:beforeLines="0" w:afterLines="0"/>
        <w:jc w:val="both"/>
        <w:rPr>
          <w:rFonts w:hint="default" w:ascii="Book Antiqua" w:hAnsi="Book Antiqua" w:cs="Book Antiqua"/>
          <w:lang w:val="en-US" w:eastAsia="zh-CN"/>
        </w:rPr>
      </w:pPr>
      <w:bookmarkStart w:id="1" w:name="OLE_LINK2"/>
      <w:r>
        <w:rPr>
          <w:rFonts w:hint="default" w:ascii="Book Antiqua" w:hAnsi="Book Antiqua" w:cs="Book Antiqua"/>
          <w:lang w:val="en-US" w:eastAsia="zh-CN"/>
        </w:rPr>
        <w:t>Histology grade:Low, well and moderate differentiation; high, poor differentiation and undifferentiation. Biological risk:</w:t>
      </w:r>
      <w:bookmarkStart w:id="2" w:name="OLE_LINK5"/>
      <w:r>
        <w:rPr>
          <w:rFonts w:hint="default" w:ascii="Book Antiqua" w:hAnsi="Book Antiqua" w:cs="Book Antiqua"/>
          <w:lang w:val="en-US" w:eastAsia="zh-CN"/>
        </w:rPr>
        <w:t xml:space="preserve"> Low, </w:t>
      </w:r>
      <w:r>
        <w:rPr>
          <w:rFonts w:hint="default" w:ascii="Book Antiqua" w:hAnsi="Book Antiqua" w:cs="Book Antiqua"/>
          <w:lang w:val="en-US" w:eastAsia="zh-CN"/>
        </w:rPr>
        <w:t>CA199≤112</w:t>
      </w:r>
      <w:bookmarkStart w:id="3" w:name="OLE_LINK3"/>
      <w:r>
        <w:rPr>
          <w:rFonts w:hint="default" w:ascii="Book Antiqua" w:hAnsi="Book Antiqua" w:cs="Book Antiqua"/>
          <w:lang w:val="en-US" w:eastAsia="zh-CN"/>
        </w:rPr>
        <w:t xml:space="preserve"> U/ml</w:t>
      </w:r>
      <w:bookmarkEnd w:id="3"/>
      <w:r>
        <w:rPr>
          <w:rFonts w:hint="default" w:ascii="Book Antiqua" w:hAnsi="Book Antiqua" w:cs="Book Antiqua"/>
          <w:lang w:val="en-US" w:eastAsia="zh-CN"/>
        </w:rPr>
        <w:t xml:space="preserve"> </w:t>
      </w:r>
      <w:r>
        <w:rPr>
          <w:rFonts w:hint="default" w:ascii="Book Antiqua" w:hAnsi="Book Antiqua" w:cs="Book Antiqua"/>
          <w:lang w:val="en-US" w:eastAsia="zh-CN"/>
        </w:rPr>
        <w:t>+</w:t>
      </w:r>
      <w:r>
        <w:rPr>
          <w:rFonts w:hint="default" w:ascii="Book Antiqua" w:hAnsi="Book Antiqua" w:cs="Book Antiqua"/>
          <w:lang w:val="en-US" w:eastAsia="zh-CN"/>
        </w:rPr>
        <w:t xml:space="preserve"> low grade; Middle, CA19-9</w:t>
      </w:r>
      <w:r>
        <w:rPr>
          <w:rFonts w:hint="default" w:ascii="Book Antiqua" w:hAnsi="Book Antiqua" w:cs="Book Antiqua"/>
          <w:lang w:val="en-US" w:eastAsia="zh-CN"/>
        </w:rPr>
        <w:t>≤112</w:t>
      </w:r>
      <w:r>
        <w:rPr>
          <w:rFonts w:hint="default" w:ascii="Book Antiqua" w:hAnsi="Book Antiqua" w:cs="Book Antiqua"/>
          <w:lang w:val="en-US" w:eastAsia="zh-CN"/>
        </w:rPr>
        <w:t xml:space="preserve"> U/ml </w:t>
      </w:r>
      <w:r>
        <w:rPr>
          <w:rFonts w:hint="default" w:ascii="Book Antiqua" w:hAnsi="Book Antiqua" w:cs="Book Antiqua"/>
          <w:lang w:val="en-US" w:eastAsia="zh-CN"/>
        </w:rPr>
        <w:t>+</w:t>
      </w:r>
      <w:r>
        <w:rPr>
          <w:rFonts w:hint="default" w:ascii="Book Antiqua" w:hAnsi="Book Antiqua" w:cs="Book Antiqua"/>
          <w:lang w:val="en-US" w:eastAsia="zh-CN"/>
        </w:rPr>
        <w:t xml:space="preserve"> high grade or CA19-9</w:t>
      </w:r>
      <w:r>
        <w:rPr>
          <w:rFonts w:hint="default" w:ascii="Book Antiqua" w:hAnsi="Book Antiqua" w:cs="Book Antiqua"/>
          <w:lang w:val="en-US" w:eastAsia="zh-CN"/>
        </w:rPr>
        <w:t>&gt;112</w:t>
      </w:r>
      <w:r>
        <w:rPr>
          <w:rFonts w:hint="default" w:ascii="Book Antiqua" w:hAnsi="Book Antiqua" w:cs="Book Antiqua"/>
          <w:lang w:val="en-US" w:eastAsia="zh-CN"/>
        </w:rPr>
        <w:t xml:space="preserve"> U/ml </w:t>
      </w:r>
      <w:r>
        <w:rPr>
          <w:rFonts w:hint="default" w:ascii="Book Antiqua" w:hAnsi="Book Antiqua" w:cs="Book Antiqua"/>
          <w:lang w:val="en-US" w:eastAsia="zh-CN"/>
        </w:rPr>
        <w:t>+</w:t>
      </w:r>
      <w:r>
        <w:rPr>
          <w:rFonts w:hint="default" w:ascii="Book Antiqua" w:hAnsi="Book Antiqua" w:cs="Book Antiqua"/>
          <w:lang w:val="en-US" w:eastAsia="zh-CN"/>
        </w:rPr>
        <w:t xml:space="preserve"> low grade; High, CA19-9</w:t>
      </w:r>
      <w:r>
        <w:rPr>
          <w:rFonts w:hint="default" w:ascii="Book Antiqua" w:hAnsi="Book Antiqua" w:cs="Book Antiqua"/>
          <w:lang w:val="en-US" w:eastAsia="zh-CN"/>
        </w:rPr>
        <w:t>&gt;112</w:t>
      </w:r>
      <w:r>
        <w:rPr>
          <w:rFonts w:hint="default" w:ascii="Book Antiqua" w:hAnsi="Book Antiqua" w:cs="Book Antiqua"/>
          <w:lang w:val="en-US" w:eastAsia="zh-CN"/>
        </w:rPr>
        <w:t xml:space="preserve"> U/ml </w:t>
      </w:r>
      <w:r>
        <w:rPr>
          <w:rFonts w:hint="default" w:ascii="Book Antiqua" w:hAnsi="Book Antiqua" w:cs="Book Antiqua"/>
          <w:lang w:val="en-US" w:eastAsia="zh-CN"/>
        </w:rPr>
        <w:t>+</w:t>
      </w:r>
      <w:r>
        <w:rPr>
          <w:rFonts w:hint="default" w:ascii="Book Antiqua" w:hAnsi="Book Antiqua" w:cs="Book Antiqua"/>
          <w:lang w:val="en-US" w:eastAsia="zh-CN"/>
        </w:rPr>
        <w:t xml:space="preserve"> high grade.</w:t>
      </w:r>
      <w:bookmarkEnd w:id="1"/>
      <w:bookmarkEnd w:id="2"/>
    </w:p>
    <w:p>
      <w:pPr>
        <w:spacing w:beforeLines="0" w:afterLines="0"/>
        <w:jc w:val="left"/>
        <w:rPr>
          <w:rFonts w:hint="default" w:ascii="Book Antiqua" w:hAnsi="Book Antiqua" w:cs="Book Antiqua"/>
          <w:lang w:val="en-US" w:eastAsia="zh-CN"/>
        </w:rPr>
      </w:pPr>
      <w:r>
        <w:rPr>
          <w:rFonts w:hint="default" w:ascii="Book Antiqua" w:hAnsi="Book Antiqua" w:cs="Book Antiqua"/>
          <w:lang w:val="en-US" w:eastAsia="zh-CN"/>
        </w:rPr>
        <w:br w:type="page"/>
      </w:r>
    </w:p>
    <w:p>
      <w:pPr>
        <w:rPr>
          <w:rFonts w:hint="default" w:ascii="Book Antiqua" w:hAnsi="Book Antiqua" w:eastAsia="宋体" w:cs="Book Antiqua"/>
          <w:sz w:val="24"/>
          <w:szCs w:val="24"/>
          <w:lang w:val="en-US" w:eastAsia="zh-CN"/>
        </w:rPr>
      </w:pPr>
    </w:p>
    <w:p>
      <w:pPr>
        <w:spacing w:beforeLines="0" w:afterLines="0"/>
        <w:jc w:val="left"/>
        <w:rPr>
          <w:rFonts w:hint="default" w:ascii="Book Antiqua" w:hAnsi="Book Antiqua" w:cs="Book Antiqua"/>
          <w:b/>
          <w:bCs/>
          <w:lang w:val="en-US" w:eastAsia="zh-CN"/>
        </w:rPr>
      </w:pPr>
      <w:r>
        <w:rPr>
          <w:rFonts w:hint="default" w:ascii="Book Antiqua" w:hAnsi="Book Antiqua" w:cs="Book Antiqua"/>
          <w:b/>
          <w:bCs/>
          <w:lang w:val="en-US" w:eastAsia="zh-CN"/>
        </w:rPr>
        <w:t xml:space="preserve">Table IV </w:t>
      </w:r>
    </w:p>
    <w:p>
      <w:pPr>
        <w:pBdr>
          <w:between w:val="single" w:color="000000" w:sz="4" w:space="0"/>
        </w:pBdr>
        <w:spacing w:beforeLines="0" w:afterLines="0"/>
        <w:jc w:val="both"/>
        <w:rPr>
          <w:rFonts w:hint="default" w:ascii="Book Antiqua" w:hAnsi="Book Antiqua" w:cs="Book Antiqua"/>
          <w:lang w:val="en-US" w:eastAsia="zh-CN"/>
        </w:rPr>
      </w:pPr>
      <w:r>
        <w:rPr>
          <w:rFonts w:hint="default" w:ascii="Book Antiqua" w:hAnsi="Book Antiqua" w:cs="Book Antiqua"/>
          <w:lang w:val="en-US" w:eastAsia="zh-CN"/>
        </w:rPr>
        <w:t xml:space="preserve">PDAC patients were divided into three groups according to the biological risk of PDAC:  Low, </w:t>
      </w:r>
      <w:r>
        <w:rPr>
          <w:rFonts w:hint="default" w:ascii="Book Antiqua" w:hAnsi="Book Antiqua" w:cs="Book Antiqua"/>
          <w:lang w:val="en-US" w:eastAsia="zh-CN"/>
        </w:rPr>
        <w:t>CA199≤112</w:t>
      </w:r>
      <w:r>
        <w:rPr>
          <w:rFonts w:hint="default" w:ascii="Book Antiqua" w:hAnsi="Book Antiqua" w:cs="Book Antiqua"/>
          <w:lang w:val="en-US" w:eastAsia="zh-CN"/>
        </w:rPr>
        <w:t xml:space="preserve"> U/ml </w:t>
      </w:r>
      <w:r>
        <w:rPr>
          <w:rFonts w:hint="default" w:ascii="Book Antiqua" w:hAnsi="Book Antiqua" w:cs="Book Antiqua"/>
          <w:lang w:val="en-US" w:eastAsia="zh-CN"/>
        </w:rPr>
        <w:t>+</w:t>
      </w:r>
      <w:r>
        <w:rPr>
          <w:rFonts w:hint="default" w:ascii="Book Antiqua" w:hAnsi="Book Antiqua" w:cs="Book Antiqua"/>
          <w:lang w:val="en-US" w:eastAsia="zh-CN"/>
        </w:rPr>
        <w:t xml:space="preserve"> low grade; Middle, CA19-9</w:t>
      </w:r>
      <w:r>
        <w:rPr>
          <w:rFonts w:hint="default" w:ascii="Book Antiqua" w:hAnsi="Book Antiqua" w:cs="Book Antiqua"/>
          <w:lang w:val="en-US" w:eastAsia="zh-CN"/>
        </w:rPr>
        <w:t>≤112</w:t>
      </w:r>
      <w:r>
        <w:rPr>
          <w:rFonts w:hint="default" w:ascii="Book Antiqua" w:hAnsi="Book Antiqua" w:cs="Book Antiqua"/>
          <w:lang w:val="en-US" w:eastAsia="zh-CN"/>
        </w:rPr>
        <w:t xml:space="preserve"> U/ml </w:t>
      </w:r>
      <w:r>
        <w:rPr>
          <w:rFonts w:hint="default" w:ascii="Book Antiqua" w:hAnsi="Book Antiqua" w:cs="Book Antiqua"/>
          <w:lang w:val="en-US" w:eastAsia="zh-CN"/>
        </w:rPr>
        <w:t>+</w:t>
      </w:r>
      <w:r>
        <w:rPr>
          <w:rFonts w:hint="default" w:ascii="Book Antiqua" w:hAnsi="Book Antiqua" w:cs="Book Antiqua"/>
          <w:lang w:val="en-US" w:eastAsia="zh-CN"/>
        </w:rPr>
        <w:t xml:space="preserve"> high grade or CA19-9</w:t>
      </w:r>
      <w:r>
        <w:rPr>
          <w:rFonts w:hint="default" w:ascii="Book Antiqua" w:hAnsi="Book Antiqua" w:cs="Book Antiqua"/>
          <w:lang w:val="en-US" w:eastAsia="zh-CN"/>
        </w:rPr>
        <w:t>&gt;112</w:t>
      </w:r>
      <w:r>
        <w:rPr>
          <w:rFonts w:hint="default" w:ascii="Book Antiqua" w:hAnsi="Book Antiqua" w:cs="Book Antiqua"/>
          <w:lang w:val="en-US" w:eastAsia="zh-CN"/>
        </w:rPr>
        <w:t xml:space="preserve"> U/ml </w:t>
      </w:r>
      <w:r>
        <w:rPr>
          <w:rFonts w:hint="default" w:ascii="Book Antiqua" w:hAnsi="Book Antiqua" w:cs="Book Antiqua"/>
          <w:lang w:val="en-US" w:eastAsia="zh-CN"/>
        </w:rPr>
        <w:t>+</w:t>
      </w:r>
      <w:r>
        <w:rPr>
          <w:rFonts w:hint="default" w:ascii="Book Antiqua" w:hAnsi="Book Antiqua" w:cs="Book Antiqua"/>
          <w:lang w:val="en-US" w:eastAsia="zh-CN"/>
        </w:rPr>
        <w:t xml:space="preserve"> low grade; High</w:t>
      </w:r>
      <w:bookmarkStart w:id="5" w:name="_GoBack"/>
      <w:bookmarkEnd w:id="5"/>
      <w:r>
        <w:rPr>
          <w:rFonts w:hint="default" w:ascii="Book Antiqua" w:hAnsi="Book Antiqua" w:cs="Book Antiqua"/>
          <w:lang w:val="en-US" w:eastAsia="zh-CN"/>
        </w:rPr>
        <w:t>, CA19-9</w:t>
      </w:r>
      <w:r>
        <w:rPr>
          <w:rFonts w:hint="default" w:ascii="Book Antiqua" w:hAnsi="Book Antiqua" w:cs="Book Antiqua"/>
          <w:lang w:val="en-US" w:eastAsia="zh-CN"/>
        </w:rPr>
        <w:t>&gt;112</w:t>
      </w:r>
      <w:r>
        <w:rPr>
          <w:rFonts w:hint="default" w:ascii="Book Antiqua" w:hAnsi="Book Antiqua" w:cs="Book Antiqua"/>
          <w:lang w:val="en-US" w:eastAsia="zh-CN"/>
        </w:rPr>
        <w:t xml:space="preserve"> U/ml </w:t>
      </w:r>
      <w:r>
        <w:rPr>
          <w:rFonts w:hint="default" w:ascii="Book Antiqua" w:hAnsi="Book Antiqua" w:cs="Book Antiqua"/>
          <w:lang w:val="en-US" w:eastAsia="zh-CN"/>
        </w:rPr>
        <w:t>+</w:t>
      </w:r>
      <w:r>
        <w:rPr>
          <w:rFonts w:hint="default" w:ascii="Book Antiqua" w:hAnsi="Book Antiqua" w:cs="Book Antiqua"/>
          <w:lang w:val="en-US" w:eastAsia="zh-CN"/>
        </w:rPr>
        <w:t xml:space="preserve"> high grade</w:t>
      </w:r>
    </w:p>
    <w:tbl>
      <w:tblPr>
        <w:tblStyle w:val="8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1249" w:type="pct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left"/>
              <w:rPr>
                <w:rFonts w:hint="default" w:ascii="Book Antiqua" w:hAnsi="Book Antiqua" w:cs="Book Antiqua"/>
                <w:lang w:val="en-US" w:eastAsia="zh-CN"/>
              </w:rPr>
            </w:pPr>
            <w:r>
              <w:rPr>
                <w:rFonts w:hint="default" w:ascii="Book Antiqua" w:hAnsi="Book Antiqua" w:cs="Book Antiqua"/>
                <w:lang w:val="en-US" w:eastAsia="zh-CN"/>
              </w:rPr>
              <w:t>Biological risk</w:t>
            </w:r>
          </w:p>
        </w:tc>
        <w:tc>
          <w:tcPr>
            <w:tcW w:w="1249" w:type="pct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left"/>
              <w:rPr>
                <w:rFonts w:hint="default" w:ascii="Book Antiqua" w:hAnsi="Book Antiqua" w:cs="Book Antiqua"/>
                <w:lang w:val="en-US" w:eastAsia="zh-CN"/>
              </w:rPr>
            </w:pPr>
            <w:r>
              <w:rPr>
                <w:rFonts w:hint="default" w:ascii="Book Antiqua" w:hAnsi="Book Antiqua" w:cs="Book Antiqua"/>
                <w:lang w:val="en-US" w:eastAsia="zh-CN"/>
              </w:rPr>
              <w:t>I</w:t>
            </w:r>
          </w:p>
        </w:tc>
        <w:tc>
          <w:tcPr>
            <w:tcW w:w="1250" w:type="pct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left"/>
              <w:rPr>
                <w:rFonts w:hint="default" w:ascii="Book Antiqua" w:hAnsi="Book Antiqua" w:cs="Book Antiqua"/>
                <w:lang w:val="en-US" w:eastAsia="zh-CN"/>
              </w:rPr>
            </w:pPr>
            <w:r>
              <w:rPr>
                <w:rFonts w:hint="default" w:ascii="Book Antiqua" w:hAnsi="Book Antiqua" w:cs="Book Antiqua"/>
                <w:lang w:val="en-US" w:eastAsia="zh-CN"/>
              </w:rPr>
              <w:t>II</w:t>
            </w:r>
          </w:p>
        </w:tc>
        <w:tc>
          <w:tcPr>
            <w:tcW w:w="1250" w:type="pct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left"/>
              <w:rPr>
                <w:rFonts w:hint="default" w:ascii="Book Antiqua" w:hAnsi="Book Antiqua" w:cs="Book Antiqua"/>
                <w:lang w:val="en-US" w:eastAsia="zh-CN"/>
              </w:rPr>
            </w:pPr>
            <w:r>
              <w:rPr>
                <w:rFonts w:hint="default" w:ascii="Book Antiqua" w:hAnsi="Book Antiqua" w:cs="Book Antiqua"/>
                <w:lang w:val="en-US" w:eastAsia="zh-CN"/>
              </w:rPr>
              <w:t>III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pct"/>
            <w:tcBorders>
              <w:top w:val="single" w:color="000000" w:sz="4" w:space="0"/>
            </w:tcBorders>
            <w:vAlign w:val="center"/>
          </w:tcPr>
          <w:p>
            <w:pPr>
              <w:spacing w:beforeLines="0" w:afterLines="0"/>
              <w:jc w:val="left"/>
              <w:rPr>
                <w:rFonts w:hint="default" w:ascii="Book Antiqua" w:hAnsi="Book Antiqua" w:cs="Book Antiqua"/>
                <w:lang w:val="en-US" w:eastAsia="zh-CN"/>
              </w:rPr>
            </w:pPr>
            <w:r>
              <w:rPr>
                <w:rFonts w:hint="default" w:ascii="Book Antiqua" w:hAnsi="Book Antiqua" w:cs="Book Antiqua"/>
                <w:lang w:val="en-US" w:eastAsia="zh-CN"/>
              </w:rPr>
              <w:t>Low</w:t>
            </w:r>
          </w:p>
        </w:tc>
        <w:tc>
          <w:tcPr>
            <w:tcW w:w="1249" w:type="pct"/>
            <w:tcBorders>
              <w:top w:val="single" w:color="000000" w:sz="4" w:space="0"/>
            </w:tcBorders>
            <w:vAlign w:val="center"/>
          </w:tcPr>
          <w:p>
            <w:pPr>
              <w:spacing w:beforeLines="0" w:afterLines="0"/>
              <w:jc w:val="left"/>
              <w:rPr>
                <w:rFonts w:hint="default" w:ascii="Book Antiqua" w:hAnsi="Book Antiqua" w:cs="Book Antiqua"/>
                <w:lang w:val="en-US" w:eastAsia="zh-CN"/>
              </w:rPr>
            </w:pPr>
            <w:r>
              <w:rPr>
                <w:rFonts w:hint="default" w:ascii="Book Antiqua" w:hAnsi="Book Antiqua" w:cs="Book Antiqua"/>
                <w:lang w:val="en-US" w:eastAsia="zh-CN"/>
              </w:rPr>
              <w:t>mI</w:t>
            </w:r>
          </w:p>
        </w:tc>
        <w:tc>
          <w:tcPr>
            <w:tcW w:w="1250" w:type="pct"/>
            <w:tcBorders>
              <w:top w:val="single" w:color="000000" w:sz="4" w:space="0"/>
            </w:tcBorders>
            <w:vAlign w:val="center"/>
          </w:tcPr>
          <w:p>
            <w:pPr>
              <w:spacing w:beforeLines="0" w:afterLines="0"/>
              <w:jc w:val="left"/>
              <w:rPr>
                <w:rFonts w:hint="default" w:ascii="Book Antiqua" w:hAnsi="Book Antiqua" w:cs="Book Antiqua"/>
                <w:lang w:val="en-US" w:eastAsia="zh-CN"/>
              </w:rPr>
            </w:pPr>
            <w:r>
              <w:rPr>
                <w:rFonts w:hint="default" w:ascii="Book Antiqua" w:hAnsi="Book Antiqua" w:cs="Book Antiqua"/>
                <w:lang w:val="en-US" w:eastAsia="zh-CN"/>
              </w:rPr>
              <w:t>mI</w:t>
            </w:r>
          </w:p>
        </w:tc>
        <w:tc>
          <w:tcPr>
            <w:tcW w:w="1250" w:type="pct"/>
            <w:tcBorders>
              <w:top w:val="single" w:color="000000" w:sz="4" w:space="0"/>
            </w:tcBorders>
            <w:vAlign w:val="center"/>
          </w:tcPr>
          <w:p>
            <w:pPr>
              <w:spacing w:beforeLines="0" w:afterLines="0"/>
              <w:jc w:val="left"/>
              <w:rPr>
                <w:rFonts w:hint="default" w:ascii="Book Antiqua" w:hAnsi="Book Antiqua" w:cs="Book Antiqua"/>
                <w:lang w:val="en-US" w:eastAsia="zh-CN"/>
              </w:rPr>
            </w:pPr>
            <w:r>
              <w:rPr>
                <w:rFonts w:hint="default" w:ascii="Book Antiqua" w:hAnsi="Book Antiqua" w:cs="Book Antiqua"/>
                <w:lang w:val="en-US" w:eastAsia="zh-CN"/>
              </w:rPr>
              <w:t>mIII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pct"/>
            <w:vAlign w:val="center"/>
          </w:tcPr>
          <w:p>
            <w:pPr>
              <w:spacing w:beforeLines="0" w:afterLines="0"/>
              <w:jc w:val="left"/>
              <w:rPr>
                <w:rFonts w:hint="default" w:ascii="Book Antiqua" w:hAnsi="Book Antiqua" w:cs="Book Antiqua"/>
                <w:lang w:val="en-US" w:eastAsia="zh-CN"/>
              </w:rPr>
            </w:pPr>
            <w:r>
              <w:rPr>
                <w:rFonts w:hint="default" w:ascii="Book Antiqua" w:hAnsi="Book Antiqua" w:cs="Book Antiqua"/>
                <w:lang w:val="en-US" w:eastAsia="zh-CN"/>
              </w:rPr>
              <w:t>Middle</w:t>
            </w:r>
          </w:p>
        </w:tc>
        <w:tc>
          <w:tcPr>
            <w:tcW w:w="1249" w:type="pct"/>
            <w:vAlign w:val="center"/>
          </w:tcPr>
          <w:p>
            <w:pPr>
              <w:spacing w:beforeLines="0" w:afterLines="0"/>
              <w:jc w:val="left"/>
              <w:rPr>
                <w:rFonts w:hint="default" w:ascii="Book Antiqua" w:hAnsi="Book Antiqua" w:cs="Book Antiqua"/>
                <w:lang w:val="en-US" w:eastAsia="zh-CN"/>
              </w:rPr>
            </w:pPr>
            <w:r>
              <w:rPr>
                <w:rFonts w:hint="default" w:ascii="Book Antiqua" w:hAnsi="Book Antiqua" w:cs="Book Antiqua"/>
                <w:lang w:val="en-US" w:eastAsia="zh-CN"/>
              </w:rPr>
              <w:t>mI</w:t>
            </w:r>
          </w:p>
        </w:tc>
        <w:tc>
          <w:tcPr>
            <w:tcW w:w="1250" w:type="pct"/>
            <w:vAlign w:val="center"/>
          </w:tcPr>
          <w:p>
            <w:pPr>
              <w:spacing w:beforeLines="0" w:afterLines="0"/>
              <w:jc w:val="left"/>
              <w:rPr>
                <w:rFonts w:hint="default" w:ascii="Book Antiqua" w:hAnsi="Book Antiqua" w:cs="Book Antiqua"/>
                <w:lang w:val="en-US" w:eastAsia="zh-CN"/>
              </w:rPr>
            </w:pPr>
            <w:r>
              <w:rPr>
                <w:rFonts w:hint="default" w:ascii="Book Antiqua" w:hAnsi="Book Antiqua" w:cs="Book Antiqua"/>
                <w:lang w:val="en-US" w:eastAsia="zh-CN"/>
              </w:rPr>
              <w:t>mII</w:t>
            </w:r>
          </w:p>
        </w:tc>
        <w:tc>
          <w:tcPr>
            <w:tcW w:w="1250" w:type="pct"/>
            <w:vAlign w:val="center"/>
          </w:tcPr>
          <w:p>
            <w:pPr>
              <w:spacing w:beforeLines="0" w:afterLines="0"/>
              <w:jc w:val="left"/>
              <w:rPr>
                <w:rFonts w:hint="default" w:ascii="Book Antiqua" w:hAnsi="Book Antiqua" w:cs="Book Antiqua"/>
                <w:lang w:val="en-US" w:eastAsia="zh-CN"/>
              </w:rPr>
            </w:pPr>
            <w:r>
              <w:rPr>
                <w:rFonts w:hint="default" w:ascii="Book Antiqua" w:hAnsi="Book Antiqua" w:cs="Book Antiqua"/>
                <w:lang w:val="en-US" w:eastAsia="zh-CN"/>
              </w:rPr>
              <w:t>mIII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pct"/>
            <w:tcBorders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left"/>
              <w:rPr>
                <w:rFonts w:hint="default" w:ascii="Book Antiqua" w:hAnsi="Book Antiqua" w:cs="Book Antiqua"/>
                <w:lang w:val="en-US" w:eastAsia="zh-CN"/>
              </w:rPr>
            </w:pPr>
            <w:r>
              <w:rPr>
                <w:rFonts w:hint="default" w:ascii="Book Antiqua" w:hAnsi="Book Antiqua" w:cs="Book Antiqua"/>
                <w:lang w:val="en-US" w:eastAsia="zh-CN"/>
              </w:rPr>
              <w:t>High</w:t>
            </w:r>
          </w:p>
        </w:tc>
        <w:tc>
          <w:tcPr>
            <w:tcW w:w="1249" w:type="pct"/>
            <w:tcBorders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left"/>
              <w:rPr>
                <w:rFonts w:hint="default" w:ascii="Book Antiqua" w:hAnsi="Book Antiqua" w:cs="Book Antiqua"/>
                <w:lang w:val="en-US" w:eastAsia="zh-CN"/>
              </w:rPr>
            </w:pPr>
            <w:r>
              <w:rPr>
                <w:rFonts w:hint="default" w:ascii="Book Antiqua" w:hAnsi="Book Antiqua" w:cs="Book Antiqua"/>
                <w:lang w:val="en-US" w:eastAsia="zh-CN"/>
              </w:rPr>
              <w:t>mII</w:t>
            </w:r>
          </w:p>
        </w:tc>
        <w:tc>
          <w:tcPr>
            <w:tcW w:w="1250" w:type="pct"/>
            <w:tcBorders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left"/>
              <w:rPr>
                <w:rFonts w:hint="default" w:ascii="Book Antiqua" w:hAnsi="Book Antiqua" w:cs="Book Antiqua"/>
                <w:lang w:val="en-US" w:eastAsia="zh-CN"/>
              </w:rPr>
            </w:pPr>
            <w:r>
              <w:rPr>
                <w:rFonts w:hint="default" w:ascii="Book Antiqua" w:hAnsi="Book Antiqua" w:cs="Book Antiqua"/>
                <w:lang w:val="en-US" w:eastAsia="zh-CN"/>
              </w:rPr>
              <w:t>mIII</w:t>
            </w:r>
          </w:p>
        </w:tc>
        <w:tc>
          <w:tcPr>
            <w:tcW w:w="1250" w:type="pct"/>
            <w:tcBorders>
              <w:bottom w:val="single" w:color="000000" w:sz="4" w:space="0"/>
            </w:tcBorders>
            <w:vAlign w:val="center"/>
          </w:tcPr>
          <w:p>
            <w:pPr>
              <w:spacing w:beforeLines="0" w:afterLines="0"/>
              <w:jc w:val="left"/>
              <w:rPr>
                <w:rFonts w:hint="default" w:ascii="Book Antiqua" w:hAnsi="Book Antiqua" w:cs="Book Antiqua"/>
                <w:lang w:val="en-US" w:eastAsia="zh-CN"/>
              </w:rPr>
            </w:pPr>
            <w:r>
              <w:rPr>
                <w:rFonts w:hint="default" w:ascii="Book Antiqua" w:hAnsi="Book Antiqua" w:cs="Book Antiqua"/>
                <w:lang w:val="en-US" w:eastAsia="zh-CN"/>
              </w:rPr>
              <w:t>mIII</w:t>
            </w:r>
          </w:p>
        </w:tc>
      </w:tr>
    </w:tbl>
    <w:p>
      <w:pPr>
        <w:spacing w:beforeLines="0" w:afterLines="0"/>
        <w:jc w:val="both"/>
        <w:rPr>
          <w:rFonts w:hint="default" w:ascii="Book Antiqua" w:hAnsi="Book Antiqua" w:cs="Book Antiqua"/>
          <w:lang w:val="en-US" w:eastAsia="zh-CN"/>
        </w:rPr>
      </w:pPr>
      <w:r>
        <w:rPr>
          <w:rFonts w:hint="default" w:ascii="Book Antiqua" w:hAnsi="Book Antiqua" w:cs="Book Antiqua"/>
          <w:lang w:val="en-US" w:eastAsia="zh-CN"/>
        </w:rPr>
        <w:t xml:space="preserve">The </w:t>
      </w:r>
      <w:r>
        <w:rPr>
          <w:rFonts w:hint="default" w:ascii="Book Antiqua" w:hAnsi="Book Antiqua" w:cs="Book Antiqua"/>
          <w:lang w:val="en-US" w:eastAsia="zh-CN"/>
        </w:rPr>
        <w:t>biological risk was</w:t>
      </w:r>
      <w:r>
        <w:rPr>
          <w:rFonts w:hint="default" w:ascii="Book Antiqua" w:hAnsi="Book Antiqua" w:cs="Book Antiqua"/>
          <w:lang w:val="en-US" w:eastAsia="zh-CN"/>
        </w:rPr>
        <w:t xml:space="preserve"> incorporated into the eighth ed</w:t>
      </w:r>
      <w:r>
        <w:rPr>
          <w:rFonts w:hint="default" w:ascii="Book Antiqua" w:hAnsi="Book Antiqua" w:cs="Book Antiqua"/>
          <w:lang w:val="en-US" w:eastAsia="zh-CN"/>
        </w:rPr>
        <w:t>ition</w:t>
      </w:r>
      <w:r>
        <w:rPr>
          <w:rFonts w:hint="default" w:ascii="Book Antiqua" w:hAnsi="Book Antiqua" w:cs="Book Antiqua"/>
          <w:lang w:val="en-US" w:eastAsia="zh-CN"/>
        </w:rPr>
        <w:t xml:space="preserve"> of </w:t>
      </w:r>
      <w:r>
        <w:rPr>
          <w:rFonts w:hint="default" w:ascii="Book Antiqua" w:hAnsi="Book Antiqua" w:cs="Book Antiqua"/>
          <w:lang w:val="en-US" w:eastAsia="zh-CN"/>
        </w:rPr>
        <w:t>TNM</w:t>
      </w:r>
      <w:r>
        <w:rPr>
          <w:rFonts w:hint="default" w:ascii="Book Antiqua" w:hAnsi="Book Antiqua" w:cs="Book Antiqua"/>
          <w:lang w:val="en-US" w:eastAsia="zh-CN"/>
        </w:rPr>
        <w:t xml:space="preserve"> staging</w:t>
      </w:r>
      <w:r>
        <w:rPr>
          <w:rFonts w:hint="default" w:ascii="Book Antiqua" w:hAnsi="Book Antiqua" w:cs="Book Antiqua"/>
          <w:lang w:val="en-US" w:eastAsia="zh-CN"/>
        </w:rPr>
        <w:t xml:space="preserve"> </w:t>
      </w:r>
      <w:r>
        <w:rPr>
          <w:rFonts w:hint="default" w:ascii="Book Antiqua" w:hAnsi="Book Antiqua" w:cs="Book Antiqua"/>
          <w:lang w:val="en-US" w:eastAsia="zh-CN"/>
        </w:rPr>
        <w:t>system and</w:t>
      </w:r>
      <w:r>
        <w:rPr>
          <w:rFonts w:hint="default" w:ascii="Book Antiqua" w:hAnsi="Book Antiqua" w:cs="Book Antiqua"/>
          <w:lang w:val="en-US" w:eastAsia="zh-CN"/>
        </w:rPr>
        <w:t xml:space="preserve"> </w:t>
      </w:r>
      <w:r>
        <w:rPr>
          <w:rFonts w:hint="default" w:ascii="Book Antiqua" w:hAnsi="Book Antiqua" w:cs="Book Antiqua"/>
          <w:lang w:val="en-US" w:eastAsia="zh-CN"/>
        </w:rPr>
        <w:t xml:space="preserve">composed the newly modified </w:t>
      </w:r>
      <w:r>
        <w:rPr>
          <w:rFonts w:hint="default" w:ascii="Book Antiqua" w:hAnsi="Book Antiqua" w:cs="Book Antiqua"/>
          <w:lang w:val="en-US" w:eastAsia="zh-CN"/>
        </w:rPr>
        <w:t>TNM</w:t>
      </w:r>
      <w:r>
        <w:rPr>
          <w:rFonts w:hint="default" w:ascii="Book Antiqua" w:hAnsi="Book Antiqua" w:cs="Book Antiqua"/>
          <w:lang w:val="en-US" w:eastAsia="zh-CN"/>
        </w:rPr>
        <w:t xml:space="preserve"> (m</w:t>
      </w:r>
      <w:r>
        <w:rPr>
          <w:rFonts w:hint="default" w:ascii="Book Antiqua" w:hAnsi="Book Antiqua" w:cs="Book Antiqua"/>
          <w:lang w:val="en-US" w:eastAsia="zh-CN"/>
        </w:rPr>
        <w:t>TNM</w:t>
      </w:r>
      <w:r>
        <w:rPr>
          <w:rFonts w:hint="default" w:ascii="Book Antiqua" w:hAnsi="Book Antiqua" w:cs="Book Antiqua"/>
          <w:lang w:val="en-US" w:eastAsia="zh-CN"/>
        </w:rPr>
        <w:t>) stage.</w:t>
      </w:r>
    </w:p>
    <w:p>
      <w:pPr>
        <w:rPr>
          <w:rFonts w:hint="default" w:ascii="Book Antiqua" w:hAnsi="Book Antiqua" w:eastAsia="宋体" w:cs="Book Antiqua"/>
          <w:sz w:val="24"/>
          <w:szCs w:val="24"/>
          <w:lang w:val="en-US" w:eastAsia="zh-CN"/>
        </w:rPr>
      </w:pPr>
    </w:p>
    <w:p>
      <w:pPr>
        <w:rPr>
          <w:rFonts w:hint="default" w:ascii="Book Antiqua" w:hAnsi="Book Antiqua" w:eastAsia="宋体" w:cs="Book Antiqua"/>
          <w:sz w:val="24"/>
          <w:szCs w:val="24"/>
          <w:lang w:val="en-US" w:eastAsia="zh-CN"/>
        </w:rPr>
      </w:pPr>
    </w:p>
    <w:p>
      <w:pPr>
        <w:rPr>
          <w:rFonts w:hint="default" w:ascii="Book Antiqua" w:hAnsi="Book Antiqua" w:eastAsia="宋体" w:cs="Book Antiqua"/>
          <w:sz w:val="24"/>
          <w:szCs w:val="24"/>
          <w:lang w:val="en-US" w:eastAsia="zh-CN"/>
        </w:rPr>
      </w:pPr>
    </w:p>
    <w:p>
      <w:pPr>
        <w:rPr>
          <w:rFonts w:hint="default" w:ascii="Book Antiqua" w:hAnsi="Book Antiqua" w:eastAsia="宋体" w:cs="Book Antiqua"/>
          <w:sz w:val="24"/>
          <w:szCs w:val="24"/>
          <w:lang w:val="en-US" w:eastAsia="zh-CN"/>
        </w:rPr>
      </w:pPr>
    </w:p>
    <w:p>
      <w:pPr>
        <w:rPr>
          <w:rFonts w:hint="default" w:ascii="Book Antiqua" w:hAnsi="Book Antiqua" w:eastAsia="宋体" w:cs="Book Antiqua"/>
          <w:sz w:val="24"/>
          <w:szCs w:val="24"/>
          <w:lang w:val="en-US" w:eastAsia="zh-CN"/>
        </w:rPr>
      </w:pPr>
    </w:p>
    <w:p>
      <w:pPr>
        <w:rPr>
          <w:rFonts w:hint="default" w:ascii="Book Antiqua" w:hAnsi="Book Antiqua" w:cs="Book Antiqua"/>
          <w:lang w:val="en-US" w:eastAsia="zh-CN"/>
        </w:rPr>
      </w:pPr>
      <w:r>
        <w:rPr>
          <w:rFonts w:hint="default" w:ascii="Book Antiqua" w:hAnsi="Book Antiqua" w:cs="Book Antiqua"/>
          <w:lang w:val="en-US" w:eastAsia="zh-CN"/>
        </w:rPr>
        <w:br w:type="page"/>
      </w:r>
    </w:p>
    <w:p>
      <w:pPr>
        <w:rPr>
          <w:rFonts w:hint="default" w:ascii="Book Antiqua" w:hAnsi="Book Antiqua" w:cs="Book Antiqua"/>
          <w:lang w:val="en-US" w:eastAsia="zh-CN"/>
        </w:rPr>
      </w:pPr>
      <w:r>
        <w:rPr>
          <w:rFonts w:hint="default" w:ascii="Book Antiqua" w:hAnsi="Book Antiqua" w:cs="Book Antiqua"/>
          <w:b/>
          <w:bCs/>
          <w:lang w:val="en-US" w:eastAsia="zh-CN"/>
        </w:rPr>
        <w:t>Table V</w:t>
      </w:r>
      <w:r>
        <w:rPr>
          <w:rFonts w:hint="default" w:ascii="Book Antiqua" w:hAnsi="Book Antiqua" w:cs="Book Antiqua"/>
          <w:lang w:val="en-US" w:eastAsia="zh-CN"/>
        </w:rPr>
        <w:t xml:space="preserve">  </w:t>
      </w:r>
    </w:p>
    <w:p>
      <w:pPr>
        <w:rPr>
          <w:rFonts w:hint="default" w:ascii="Book Antiqua" w:hAnsi="Book Antiqua" w:cs="Book Antiqua"/>
          <w:lang w:val="en-US" w:eastAsia="zh-CN"/>
        </w:rPr>
      </w:pPr>
      <w:r>
        <w:rPr>
          <w:rFonts w:hint="default" w:ascii="Book Antiqua" w:hAnsi="Book Antiqua" w:cs="Book Antiqua"/>
          <w:lang w:val="en-US" w:eastAsia="zh-CN"/>
        </w:rPr>
        <w:t>The impact of mTNM and TNM on the prognostic value of staging</w:t>
      </w:r>
    </w:p>
    <w:tbl>
      <w:tblPr>
        <w:tblStyle w:val="8"/>
        <w:tblW w:w="0" w:type="auto"/>
        <w:tblInd w:w="0" w:type="dxa"/>
        <w:tblBorders>
          <w:top w:val="single" w:color="000000" w:sz="4" w:space="0"/>
          <w:left w:val="none" w:color="auto" w:sz="0" w:space="0"/>
          <w:bottom w:val="single" w:color="000000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456"/>
        <w:gridCol w:w="667"/>
        <w:gridCol w:w="780"/>
        <w:gridCol w:w="800"/>
        <w:gridCol w:w="222"/>
        <w:gridCol w:w="1456"/>
        <w:gridCol w:w="673"/>
        <w:gridCol w:w="1330"/>
      </w:tblGrid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0" w:type="auto"/>
            <w:vMerge w:val="restart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Characteristics</w:t>
            </w:r>
          </w:p>
        </w:tc>
        <w:tc>
          <w:tcPr>
            <w:tcW w:w="0" w:type="auto"/>
            <w:vMerge w:val="restart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n</w:t>
            </w:r>
          </w:p>
        </w:tc>
        <w:tc>
          <w:tcPr>
            <w:tcW w:w="0" w:type="auto"/>
            <w:vMerge w:val="restart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5-year</w:t>
            </w:r>
          </w:p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OS(%)</w:t>
            </w:r>
          </w:p>
        </w:tc>
        <w:tc>
          <w:tcPr>
            <w:tcW w:w="0" w:type="auto"/>
            <w:gridSpan w:val="2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Univariate analysis</w:t>
            </w:r>
          </w:p>
        </w:tc>
        <w:tc>
          <w:tcPr>
            <w:tcW w:w="0" w:type="auto"/>
            <w:tcBorders>
              <w:bottom w:val="nil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gridSpan w:val="2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Multivariate analysis</w:t>
            </w:r>
          </w:p>
        </w:tc>
        <w:tc>
          <w:tcPr>
            <w:tcW w:w="0" w:type="auto"/>
            <w:vMerge w:val="restart"/>
            <w:tcBorders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bookmarkStart w:id="4" w:name="OLE_LINK4"/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-2log likelihood</w:t>
            </w:r>
            <w:bookmarkEnd w:id="4"/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0" w:type="auto"/>
            <w:vMerge w:val="continue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eastAsia="微软雅黑" w:cs="Book Antiqua"/>
                <w:sz w:val="16"/>
                <w:szCs w:val="16"/>
                <w:vertAlign w:val="baseline"/>
                <w:lang w:val="en-US" w:eastAsia="zh-CN"/>
              </w:rPr>
              <w:t>χ</w:t>
            </w:r>
            <w:r>
              <w:rPr>
                <w:rFonts w:hint="default" w:ascii="Book Antiqua" w:hAnsi="Book Antiqua" w:cs="Book Antiqua"/>
                <w:b w:val="0"/>
                <w:bCs w:val="0"/>
                <w:vertAlign w:val="superscript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P</w:t>
            </w:r>
          </w:p>
        </w:tc>
        <w:tc>
          <w:tcPr>
            <w:tcW w:w="0" w:type="auto"/>
            <w:tcBorders>
              <w:top w:val="nil"/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HR(95% CI)</w:t>
            </w:r>
          </w:p>
        </w:tc>
        <w:tc>
          <w:tcPr>
            <w:tcW w:w="0" w:type="auto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P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bottom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0" w:type="auto"/>
            <w:tcBorders>
              <w:top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mTNM stage</w:t>
            </w:r>
          </w:p>
        </w:tc>
        <w:tc>
          <w:tcPr>
            <w:tcW w:w="0" w:type="auto"/>
            <w:tcBorders>
              <w:top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78.603</w:t>
            </w:r>
          </w:p>
        </w:tc>
        <w:tc>
          <w:tcPr>
            <w:tcW w:w="0" w:type="auto"/>
            <w:tcBorders>
              <w:top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&lt;0.001</w:t>
            </w:r>
          </w:p>
        </w:tc>
        <w:tc>
          <w:tcPr>
            <w:tcW w:w="0" w:type="auto"/>
            <w:tcBorders>
              <w:top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4688.361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 xml:space="preserve"> mI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213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31.2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1(ref)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&lt;0.001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 xml:space="preserve"> mII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197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17.2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1.627(1.198-2.210)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0.002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 xml:space="preserve"> mIII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202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7.2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2.602(1.840-3.678)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&lt;0.001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TNM stage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37.794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&lt;0.001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4694.876</w:t>
            </w: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 xml:space="preserve"> I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233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28.2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1(ref)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&lt;0.001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 xml:space="preserve"> II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285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14.9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1.442(1.155-1.800)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0.001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none" w:color="auto" w:sz="0" w:space="0"/>
            <w:bottom w:val="single" w:color="00000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 xml:space="preserve"> III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94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7.7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2.137(1.564-2.921)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default" w:ascii="Book Antiqua" w:hAnsi="Book Antiqua" w:cs="Book Antiqua"/>
                <w:sz w:val="16"/>
                <w:szCs w:val="16"/>
                <w:vertAlign w:val="baseline"/>
                <w:lang w:val="en-US" w:eastAsia="zh-CN"/>
              </w:rPr>
              <w:t>&lt;0.001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/>
              <w:jc w:val="both"/>
              <w:rPr>
                <w:rFonts w:hint="default" w:ascii="Book Antiqua" w:hAnsi="Book Antiqua" w:cs="Book Antiqua" w:eastAsiaTheme="minorEastAsia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</w:p>
        </w:tc>
      </w:tr>
    </w:tbl>
    <w:p>
      <w:pPr>
        <w:spacing w:beforeLines="0" w:afterLines="0"/>
        <w:jc w:val="left"/>
        <w:rPr>
          <w:rFonts w:hint="default" w:ascii="Book Antiqua" w:hAnsi="Book Antiqua" w:cs="Book Antiqua"/>
          <w:lang w:val="en-US" w:eastAsia="zh-CN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r>
        <w:rPr>
          <w:rFonts w:hint="default" w:ascii="Book Antiqua" w:hAnsi="Book Antiqua" w:cs="Book Antiqua"/>
          <w:lang w:val="en-US" w:eastAsia="zh-CN"/>
        </w:rPr>
        <w:t>OS: overall survival; HR: hazard ratio; 95% CI:95% confidence interval.</w:t>
      </w:r>
    </w:p>
    <w:p>
      <w:pPr>
        <w:rPr>
          <w:rFonts w:hint="default" w:ascii="Book Antiqua" w:hAnsi="Book Antiqua" w:cs="Book Antiqua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5ODNkN2IwOGIxNDllZGJlY2ZlZTAzYmYwNTRmOGMifQ=="/>
  </w:docVars>
  <w:rsids>
    <w:rsidRoot w:val="00172A27"/>
    <w:rsid w:val="00316B15"/>
    <w:rsid w:val="03213C41"/>
    <w:rsid w:val="0477409B"/>
    <w:rsid w:val="05021B44"/>
    <w:rsid w:val="07B1581D"/>
    <w:rsid w:val="07E86EA8"/>
    <w:rsid w:val="0A983E65"/>
    <w:rsid w:val="0F214433"/>
    <w:rsid w:val="14117786"/>
    <w:rsid w:val="14F31204"/>
    <w:rsid w:val="15AA2E05"/>
    <w:rsid w:val="18344526"/>
    <w:rsid w:val="19CD15E8"/>
    <w:rsid w:val="1D1D75C8"/>
    <w:rsid w:val="1F1803D7"/>
    <w:rsid w:val="24451E00"/>
    <w:rsid w:val="24C45B27"/>
    <w:rsid w:val="28F47591"/>
    <w:rsid w:val="2AE83D45"/>
    <w:rsid w:val="2B6E5E42"/>
    <w:rsid w:val="2CD77782"/>
    <w:rsid w:val="2E150340"/>
    <w:rsid w:val="2E7A331D"/>
    <w:rsid w:val="2EA7668F"/>
    <w:rsid w:val="2EC340B4"/>
    <w:rsid w:val="2FA76343"/>
    <w:rsid w:val="32A6333F"/>
    <w:rsid w:val="4431710F"/>
    <w:rsid w:val="46100CA6"/>
    <w:rsid w:val="47775943"/>
    <w:rsid w:val="4C7728FE"/>
    <w:rsid w:val="4CA37A3E"/>
    <w:rsid w:val="576A4F97"/>
    <w:rsid w:val="5895410F"/>
    <w:rsid w:val="5B9662AB"/>
    <w:rsid w:val="5D6A2AE5"/>
    <w:rsid w:val="5EBF7821"/>
    <w:rsid w:val="5ED370DF"/>
    <w:rsid w:val="613D4CE3"/>
    <w:rsid w:val="645A195E"/>
    <w:rsid w:val="65150D04"/>
    <w:rsid w:val="667C62AE"/>
    <w:rsid w:val="678C6616"/>
    <w:rsid w:val="69631F31"/>
    <w:rsid w:val="6AEC3B79"/>
    <w:rsid w:val="6E404D12"/>
    <w:rsid w:val="6E9B6A75"/>
    <w:rsid w:val="76B61368"/>
    <w:rsid w:val="770D2677"/>
    <w:rsid w:val="78CC4E73"/>
    <w:rsid w:val="79383F6C"/>
    <w:rsid w:val="7CCC3693"/>
    <w:rsid w:val="7E930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9" w:semiHidden="0" w:name="heading 1"/>
    <w:lsdException w:qFormat="1" w:uiPriority="99" w:semiHidden="0" w:name="heading 2"/>
    <w:lsdException w:qFormat="1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MingLiU" w:hAnsi="MingLiU" w:eastAsia="MingLiU" w:cstheme="minorBidi"/>
      <w:b/>
      <w:color w:val="000000"/>
      <w:sz w:val="32"/>
      <w:szCs w:val="24"/>
    </w:rPr>
  </w:style>
  <w:style w:type="paragraph" w:styleId="3">
    <w:name w:val="heading 2"/>
    <w:next w:val="1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MingLiU" w:hAnsi="MingLiU" w:eastAsia="MingLiU" w:cstheme="minorBidi"/>
      <w:b/>
      <w:i/>
      <w:color w:val="000000"/>
      <w:sz w:val="28"/>
      <w:szCs w:val="24"/>
    </w:rPr>
  </w:style>
  <w:style w:type="paragraph" w:styleId="4">
    <w:name w:val="heading 3"/>
    <w:next w:val="1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MingLiU" w:hAnsi="MingLiU" w:eastAsia="MingLiU" w:cstheme="minorBidi"/>
      <w:b/>
      <w:color w:val="000000"/>
      <w:sz w:val="26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673</Words>
  <Characters>4351</Characters>
  <Lines>0</Lines>
  <Paragraphs>0</Paragraphs>
  <TotalTime>54</TotalTime>
  <ScaleCrop>false</ScaleCrop>
  <LinksUpToDate>false</LinksUpToDate>
  <CharactersWithSpaces>4699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2022-09-21T01:09:00Z</dcterms:created>
  <dc:creator>常少飞</dc:creator>
  <cp:lastModifiedBy>常少飞</cp:lastModifiedBy>
  <dcterms:modified xsi:type="dcterms:W3CDTF">2022-11-02T02:11:52Z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06C4AC672E3743A1BAAFA5A0BA9AC951</vt:lpwstr>
  </property>
</Properties>
</file>