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1A1" w:rsidRPr="00DC134A" w:rsidRDefault="009641A1" w:rsidP="002F16F0">
      <w:pPr>
        <w:wordWrap/>
        <w:spacing w:line="600" w:lineRule="auto"/>
        <w:jc w:val="left"/>
        <w:rPr>
          <w:rFonts w:ascii="Times New Roman" w:hAnsi="Times New Roman"/>
          <w:sz w:val="24"/>
          <w:szCs w:val="24"/>
        </w:rPr>
      </w:pPr>
      <w:r w:rsidRPr="00DC134A">
        <w:rPr>
          <w:rFonts w:ascii="Times New Roman" w:hAnsi="Times New Roman"/>
          <w:sz w:val="24"/>
          <w:szCs w:val="24"/>
        </w:rPr>
        <w:t>Article type: Original Article</w:t>
      </w:r>
    </w:p>
    <w:p w:rsidR="009641A1" w:rsidRPr="00DC134A" w:rsidRDefault="009641A1" w:rsidP="0003650C">
      <w:pPr>
        <w:pStyle w:val="ab"/>
        <w:spacing w:before="0" w:beforeAutospacing="0" w:after="0" w:afterAutospacing="0" w:line="600" w:lineRule="auto"/>
        <w:jc w:val="center"/>
        <w:rPr>
          <w:rFonts w:ascii="Times New Roman" w:eastAsia="맑은 고딕" w:hAnsi="Times New Roman" w:cs="Times New Roman"/>
          <w:b/>
          <w:kern w:val="2"/>
        </w:rPr>
      </w:pPr>
      <w:bookmarkStart w:id="0" w:name="OLE_LINK24"/>
      <w:bookmarkStart w:id="1" w:name="OLE_LINK25"/>
      <w:r w:rsidRPr="00832ACF">
        <w:rPr>
          <w:rFonts w:ascii="Times New Roman" w:eastAsia="맑은 고딕" w:hAnsi="Times New Roman" w:cs="Times New Roman"/>
          <w:b/>
          <w:kern w:val="2"/>
        </w:rPr>
        <w:t>Prescribing Patterns of SGLT2 inhibitors and GLP</w:t>
      </w:r>
      <w:r>
        <w:rPr>
          <w:rFonts w:ascii="Times New Roman" w:hAnsi="Times New Roman"/>
        </w:rPr>
        <w:t>-</w:t>
      </w:r>
      <w:r w:rsidRPr="00832ACF">
        <w:rPr>
          <w:rFonts w:ascii="Times New Roman" w:eastAsia="맑은 고딕" w:hAnsi="Times New Roman" w:cs="Times New Roman"/>
          <w:b/>
          <w:kern w:val="2"/>
        </w:rPr>
        <w:t xml:space="preserve">1 receptor agonists in </w:t>
      </w:r>
      <w:r>
        <w:rPr>
          <w:rFonts w:ascii="Times New Roman" w:eastAsia="맑은 고딕" w:hAnsi="Times New Roman" w:cs="Times New Roman"/>
          <w:b/>
          <w:kern w:val="2"/>
        </w:rPr>
        <w:t>P</w:t>
      </w:r>
      <w:r w:rsidRPr="00832ACF">
        <w:rPr>
          <w:rFonts w:ascii="Times New Roman" w:eastAsia="맑은 고딕" w:hAnsi="Times New Roman" w:cs="Times New Roman"/>
          <w:b/>
          <w:kern w:val="2"/>
        </w:rPr>
        <w:t>atients with T2DM and ASCVD in South Korea </w:t>
      </w:r>
      <w:r w:rsidRPr="00DC134A">
        <w:rPr>
          <w:rFonts w:ascii="Times New Roman" w:eastAsia="맑은 고딕" w:hAnsi="Times New Roman" w:cs="Times New Roman"/>
          <w:b/>
          <w:kern w:val="2"/>
        </w:rPr>
        <w:t xml:space="preserve"> </w:t>
      </w:r>
    </w:p>
    <w:p w:rsidR="009641A1" w:rsidRDefault="009641A1" w:rsidP="0003650C">
      <w:pPr>
        <w:pStyle w:val="ab"/>
        <w:spacing w:before="0" w:beforeAutospacing="0" w:after="0" w:afterAutospacing="0" w:line="600" w:lineRule="auto"/>
        <w:jc w:val="center"/>
        <w:rPr>
          <w:rFonts w:ascii="Times New Roman" w:eastAsia="맑은 고딕" w:hAnsi="Times New Roman" w:cs="Times New Roman"/>
          <w:b/>
          <w:kern w:val="2"/>
        </w:rPr>
      </w:pPr>
    </w:p>
    <w:p w:rsidR="009641A1" w:rsidRPr="00DC134A" w:rsidRDefault="009641A1" w:rsidP="00B6300C">
      <w:pPr>
        <w:pStyle w:val="ab"/>
        <w:spacing w:before="0" w:beforeAutospacing="0" w:after="0" w:afterAutospacing="0" w:line="600" w:lineRule="auto"/>
        <w:jc w:val="center"/>
        <w:rPr>
          <w:rFonts w:ascii="Times New Roman" w:eastAsia="맑은 고딕" w:hAnsi="Times New Roman" w:cs="Times New Roman"/>
          <w:b/>
          <w:kern w:val="2"/>
        </w:rPr>
      </w:pPr>
      <w:r>
        <w:rPr>
          <w:rFonts w:ascii="Times New Roman" w:eastAsia="맑은 고딕" w:hAnsi="Times New Roman" w:cs="Times New Roman"/>
          <w:b/>
          <w:kern w:val="2"/>
        </w:rPr>
        <w:t xml:space="preserve">Running title: </w:t>
      </w:r>
      <w:r>
        <w:rPr>
          <w:rFonts w:ascii="Times New Roman" w:eastAsia="맑은 고딕" w:hAnsi="Times New Roman" w:cs="Times New Roman"/>
          <w:kern w:val="2"/>
        </w:rPr>
        <w:t>Use</w:t>
      </w:r>
      <w:r w:rsidRPr="00D97B6F">
        <w:rPr>
          <w:rFonts w:ascii="Times New Roman" w:eastAsia="맑은 고딕" w:hAnsi="Times New Roman" w:cs="Times New Roman"/>
          <w:kern w:val="2"/>
        </w:rPr>
        <w:t xml:space="preserve"> of </w:t>
      </w:r>
      <w:r w:rsidRPr="00D97B6F">
        <w:rPr>
          <w:rFonts w:ascii="Times New Roman" w:hAnsi="Times New Roman"/>
        </w:rPr>
        <w:t>SGLT2i</w:t>
      </w:r>
      <w:r w:rsidRPr="00DC134A">
        <w:rPr>
          <w:rFonts w:ascii="Times New Roman" w:hAnsi="Times New Roman"/>
        </w:rPr>
        <w:t xml:space="preserve"> and GLP1RA</w:t>
      </w:r>
      <w:r>
        <w:rPr>
          <w:rFonts w:ascii="Times New Roman" w:hAnsi="Times New Roman"/>
        </w:rPr>
        <w:t xml:space="preserve"> in T2DM and ASCVD</w:t>
      </w:r>
    </w:p>
    <w:p w:rsidR="009641A1" w:rsidRPr="00DC134A" w:rsidRDefault="009641A1" w:rsidP="002F16F0">
      <w:pPr>
        <w:pStyle w:val="ab"/>
        <w:spacing w:before="0" w:beforeAutospacing="0" w:after="0" w:afterAutospacing="0" w:line="600" w:lineRule="auto"/>
        <w:jc w:val="center"/>
        <w:rPr>
          <w:rFonts w:ascii="Times New Roman" w:hAnsi="Times New Roman" w:cs="Times New Roman"/>
          <w:vertAlign w:val="superscript"/>
        </w:rPr>
      </w:pPr>
      <w:r w:rsidRPr="00DC134A">
        <w:rPr>
          <w:rFonts w:ascii="Times New Roman" w:hAnsi="Times New Roman" w:cs="Times New Roman"/>
        </w:rPr>
        <w:t>Yeong Rok Eom</w:t>
      </w:r>
      <w:r w:rsidRPr="00DC134A">
        <w:rPr>
          <w:rFonts w:ascii="Times New Roman" w:hAnsi="Times New Roman" w:cs="Times New Roman"/>
          <w:vertAlign w:val="superscript"/>
        </w:rPr>
        <w:t xml:space="preserve"> </w:t>
      </w:r>
      <w:bookmarkEnd w:id="0"/>
      <w:bookmarkEnd w:id="1"/>
      <w:r w:rsidRPr="00DC134A">
        <w:rPr>
          <w:rFonts w:ascii="Times New Roman" w:hAnsi="Times New Roman" w:cs="Times New Roman"/>
          <w:vertAlign w:val="superscript"/>
        </w:rPr>
        <w:t>a</w:t>
      </w:r>
      <w:r w:rsidRPr="00DC134A">
        <w:rPr>
          <w:rFonts w:ascii="Times New Roman" w:hAnsi="Times New Roman" w:cs="Times New Roman"/>
        </w:rPr>
        <w:t>, Hajung Joo</w:t>
      </w:r>
      <w:r w:rsidRPr="00DC134A">
        <w:rPr>
          <w:rFonts w:ascii="Times New Roman" w:hAnsi="Times New Roman" w:cs="Times New Roman"/>
          <w:vertAlign w:val="superscript"/>
        </w:rPr>
        <w:t xml:space="preserve"> b</w:t>
      </w:r>
      <w:r w:rsidRPr="00DC134A">
        <w:rPr>
          <w:rFonts w:ascii="Times New Roman" w:hAnsi="Times New Roman" w:cs="Times New Roman"/>
        </w:rPr>
        <w:t xml:space="preserve">, Seung Eun Chae </w:t>
      </w:r>
      <w:r w:rsidRPr="00DC134A">
        <w:rPr>
          <w:rFonts w:ascii="Times New Roman" w:hAnsi="Times New Roman" w:cs="Times New Roman"/>
          <w:vertAlign w:val="superscript"/>
        </w:rPr>
        <w:t>a</w:t>
      </w:r>
      <w:r w:rsidRPr="00DC134A">
        <w:rPr>
          <w:rFonts w:ascii="Times New Roman" w:hAnsi="Times New Roman" w:cs="Times New Roman"/>
        </w:rPr>
        <w:t xml:space="preserve"> and Nam Kyung Je</w:t>
      </w:r>
      <w:r w:rsidRPr="00DC134A">
        <w:rPr>
          <w:rFonts w:ascii="Times New Roman" w:hAnsi="Times New Roman" w:cs="Times New Roman"/>
          <w:vertAlign w:val="superscript"/>
        </w:rPr>
        <w:t xml:space="preserve"> a, c</w:t>
      </w:r>
    </w:p>
    <w:p w:rsidR="009641A1" w:rsidRPr="00DC134A" w:rsidRDefault="009641A1" w:rsidP="002F16F0">
      <w:pPr>
        <w:pStyle w:val="ab"/>
        <w:spacing w:before="0" w:beforeAutospacing="0" w:after="0" w:afterAutospacing="0" w:line="600" w:lineRule="auto"/>
        <w:jc w:val="center"/>
        <w:rPr>
          <w:rFonts w:ascii="Times New Roman" w:hAnsi="Times New Roman" w:cs="Times New Roman"/>
          <w:vertAlign w:val="superscript"/>
        </w:rPr>
      </w:pPr>
    </w:p>
    <w:p w:rsidR="009641A1" w:rsidRPr="00DC134A" w:rsidRDefault="009641A1" w:rsidP="00DC134A">
      <w:pPr>
        <w:pStyle w:val="ab"/>
        <w:spacing w:before="0" w:beforeAutospacing="0" w:after="0" w:afterAutospacing="0" w:line="600" w:lineRule="auto"/>
        <w:ind w:firstLineChars="100" w:firstLine="240"/>
        <w:jc w:val="center"/>
        <w:rPr>
          <w:rFonts w:ascii="Times New Roman" w:hAnsi="Times New Roman" w:cs="Times New Roman"/>
        </w:rPr>
      </w:pPr>
      <w:r w:rsidRPr="00DC134A">
        <w:rPr>
          <w:rFonts w:ascii="Times New Roman" w:hAnsi="Times New Roman" w:cs="Times New Roman"/>
          <w:vertAlign w:val="superscript"/>
        </w:rPr>
        <w:t>a</w:t>
      </w:r>
      <w:r w:rsidRPr="00DC134A">
        <w:rPr>
          <w:rFonts w:ascii="Times New Roman" w:hAnsi="Times New Roman" w:cs="Times New Roman"/>
        </w:rPr>
        <w:t xml:space="preserve"> College of Pharmacy, Pusan National University, Busan, Republic of Korea</w:t>
      </w:r>
    </w:p>
    <w:p w:rsidR="009641A1" w:rsidRPr="00DC134A" w:rsidRDefault="009641A1" w:rsidP="002F16F0">
      <w:pPr>
        <w:spacing w:after="0" w:line="480" w:lineRule="auto"/>
        <w:jc w:val="center"/>
        <w:rPr>
          <w:rFonts w:ascii="Times New Roman" w:eastAsia="Times New Roman Uni" w:hAnsi="Times New Roman"/>
          <w:sz w:val="24"/>
          <w:szCs w:val="24"/>
        </w:rPr>
      </w:pPr>
      <w:r w:rsidRPr="00DC134A">
        <w:rPr>
          <w:rFonts w:ascii="Times New Roman" w:hAnsi="Times New Roman"/>
          <w:sz w:val="24"/>
          <w:szCs w:val="24"/>
          <w:vertAlign w:val="superscript"/>
        </w:rPr>
        <w:t>b</w:t>
      </w:r>
      <w:r w:rsidRPr="00DC134A">
        <w:rPr>
          <w:rFonts w:ascii="Times New Roman" w:hAnsi="Times New Roman"/>
          <w:sz w:val="24"/>
          <w:szCs w:val="24"/>
        </w:rPr>
        <w:t xml:space="preserve"> C</w:t>
      </w:r>
      <w:r w:rsidRPr="00DC134A">
        <w:rPr>
          <w:rFonts w:ascii="Times New Roman" w:eastAsia="Times New Roman Uni" w:hAnsi="Times New Roman"/>
          <w:sz w:val="24"/>
          <w:szCs w:val="24"/>
        </w:rPr>
        <w:t>ollege of Pharmacy, Northeastern University, Boston, United States of America</w:t>
      </w:r>
    </w:p>
    <w:p w:rsidR="009641A1" w:rsidRPr="00DC134A" w:rsidRDefault="009641A1" w:rsidP="0003650C">
      <w:pPr>
        <w:spacing w:after="0" w:line="480" w:lineRule="auto"/>
        <w:jc w:val="center"/>
        <w:rPr>
          <w:rFonts w:ascii="Times New Roman" w:eastAsia="Times New Roman Uni" w:hAnsi="Times New Roman"/>
          <w:sz w:val="24"/>
          <w:szCs w:val="24"/>
        </w:rPr>
      </w:pPr>
      <w:r w:rsidRPr="00DC134A">
        <w:rPr>
          <w:rFonts w:ascii="Times New Roman" w:eastAsia="Times New Roman Uni" w:hAnsi="Times New Roman"/>
          <w:sz w:val="24"/>
          <w:szCs w:val="24"/>
          <w:vertAlign w:val="superscript"/>
        </w:rPr>
        <w:t xml:space="preserve">c </w:t>
      </w:r>
      <w:r w:rsidRPr="00DC134A">
        <w:rPr>
          <w:rFonts w:ascii="Times New Roman" w:eastAsia="Times New Roman Uni" w:hAnsi="Times New Roman"/>
          <w:sz w:val="24"/>
          <w:szCs w:val="24"/>
        </w:rPr>
        <w:t xml:space="preserve">Research Institute for drug development, Pusan National University, Busan, Republic of Korea </w:t>
      </w:r>
    </w:p>
    <w:p w:rsidR="009641A1" w:rsidRPr="00DC134A" w:rsidRDefault="009641A1" w:rsidP="00DC134A">
      <w:pPr>
        <w:pStyle w:val="ab"/>
        <w:spacing w:before="0" w:beforeAutospacing="0" w:after="0" w:afterAutospacing="0" w:line="480" w:lineRule="auto"/>
        <w:ind w:firstLineChars="100" w:firstLine="240"/>
        <w:rPr>
          <w:rFonts w:ascii="Times New Roman" w:hAnsi="Times New Roman" w:cs="Times New Roman"/>
        </w:rPr>
      </w:pPr>
    </w:p>
    <w:p w:rsidR="009641A1" w:rsidRDefault="009641A1" w:rsidP="0032628D">
      <w:pPr>
        <w:widowControl/>
        <w:snapToGrid w:val="0"/>
        <w:spacing w:after="0" w:line="480" w:lineRule="auto"/>
        <w:jc w:val="center"/>
        <w:rPr>
          <w:rFonts w:ascii="Times New Roman" w:hAnsi="Times New Roman"/>
          <w:sz w:val="24"/>
          <w:szCs w:val="24"/>
        </w:rPr>
      </w:pPr>
      <w:r w:rsidRPr="00DC134A">
        <w:rPr>
          <w:rFonts w:ascii="Times New Roman" w:hAnsi="Times New Roman"/>
          <w:sz w:val="24"/>
          <w:szCs w:val="24"/>
        </w:rPr>
        <w:t>Correspondence to: Nam Kyung Je</w:t>
      </w:r>
    </w:p>
    <w:p w:rsidR="009641A1" w:rsidRDefault="009641A1" w:rsidP="0032628D">
      <w:pPr>
        <w:widowControl/>
        <w:snapToGrid w:val="0"/>
        <w:spacing w:after="0" w:line="480" w:lineRule="auto"/>
        <w:jc w:val="center"/>
        <w:rPr>
          <w:rFonts w:ascii="Times New Roman" w:hAnsi="Times New Roman"/>
          <w:sz w:val="24"/>
          <w:szCs w:val="24"/>
        </w:rPr>
      </w:pPr>
      <w:r w:rsidRPr="00DC134A">
        <w:rPr>
          <w:rFonts w:ascii="Times New Roman" w:hAnsi="Times New Roman"/>
          <w:sz w:val="24"/>
          <w:szCs w:val="24"/>
        </w:rPr>
        <w:t>Pusan National University, College of Pharmacy, Busandaehakro 63 Bungil 2 Geumjeong-Gu, Busan, 46241, Republic of Korea</w:t>
      </w:r>
    </w:p>
    <w:p w:rsidR="009641A1" w:rsidRDefault="009641A1" w:rsidP="0032628D">
      <w:pPr>
        <w:widowControl/>
        <w:snapToGrid w:val="0"/>
        <w:spacing w:after="0" w:line="480" w:lineRule="auto"/>
        <w:jc w:val="center"/>
        <w:rPr>
          <w:rFonts w:ascii="Times New Roman" w:hAnsi="Times New Roman"/>
          <w:sz w:val="24"/>
          <w:szCs w:val="24"/>
        </w:rPr>
      </w:pPr>
      <w:r w:rsidRPr="00DC134A">
        <w:rPr>
          <w:rFonts w:ascii="Times New Roman" w:hAnsi="Times New Roman"/>
          <w:sz w:val="24"/>
          <w:szCs w:val="24"/>
        </w:rPr>
        <w:t>Tel.: +82-51-510-2802, Fax: +82-51-513-6754</w:t>
      </w:r>
    </w:p>
    <w:p w:rsidR="009641A1" w:rsidRDefault="009641A1" w:rsidP="0032628D">
      <w:pPr>
        <w:widowControl/>
        <w:snapToGrid w:val="0"/>
        <w:spacing w:after="0" w:line="480" w:lineRule="auto"/>
        <w:jc w:val="center"/>
        <w:rPr>
          <w:rFonts w:ascii="Times New Roman" w:hAnsi="Times New Roman"/>
          <w:sz w:val="24"/>
          <w:szCs w:val="24"/>
        </w:rPr>
      </w:pPr>
      <w:r w:rsidRPr="00DC134A">
        <w:rPr>
          <w:rFonts w:ascii="Times New Roman" w:hAnsi="Times New Roman"/>
          <w:sz w:val="24"/>
          <w:szCs w:val="24"/>
        </w:rPr>
        <w:t xml:space="preserve">E-mail: </w:t>
      </w:r>
      <w:hyperlink r:id="rId5" w:history="1">
        <w:r w:rsidRPr="003378CD">
          <w:rPr>
            <w:rStyle w:val="ac"/>
            <w:rFonts w:ascii="Times New Roman" w:hAnsi="Times New Roman"/>
            <w:sz w:val="24"/>
            <w:szCs w:val="24"/>
          </w:rPr>
          <w:t>jenk@pusan.ac.kr</w:t>
        </w:r>
      </w:hyperlink>
    </w:p>
    <w:p w:rsidR="009641A1" w:rsidRPr="008D0733" w:rsidRDefault="009641A1" w:rsidP="0032628D">
      <w:pPr>
        <w:widowControl/>
        <w:snapToGrid w:val="0"/>
        <w:spacing w:after="0" w:line="480" w:lineRule="auto"/>
        <w:jc w:val="center"/>
        <w:rPr>
          <w:rFonts w:ascii="Times New Roman" w:hAnsi="Times New Roman"/>
          <w:sz w:val="24"/>
          <w:szCs w:val="24"/>
        </w:rPr>
      </w:pPr>
    </w:p>
    <w:p w:rsidR="009641A1" w:rsidRDefault="009641A1" w:rsidP="008D0733">
      <w:pPr>
        <w:wordWrap/>
        <w:spacing w:line="480" w:lineRule="auto"/>
        <w:rPr>
          <w:rFonts w:ascii="Times New Roman" w:hAnsi="Times New Roman"/>
          <w:kern w:val="0"/>
          <w:sz w:val="22"/>
        </w:rPr>
      </w:pPr>
      <w:r w:rsidRPr="006D7307">
        <w:rPr>
          <w:rFonts w:ascii="Times New Roman" w:hAnsi="Times New Roman"/>
          <w:sz w:val="24"/>
        </w:rPr>
        <w:t xml:space="preserve">Keywords: </w:t>
      </w:r>
      <w:r>
        <w:rPr>
          <w:rFonts w:ascii="Times New Roman" w:hAnsi="Times New Roman"/>
          <w:kern w:val="0"/>
          <w:sz w:val="22"/>
        </w:rPr>
        <w:t>T</w:t>
      </w:r>
      <w:r w:rsidRPr="008D0733">
        <w:rPr>
          <w:rFonts w:ascii="Times New Roman" w:hAnsi="Times New Roman"/>
          <w:kern w:val="0"/>
          <w:sz w:val="22"/>
        </w:rPr>
        <w:t>ype 2 diabetes mellitus</w:t>
      </w:r>
      <w:r w:rsidRPr="006D7307">
        <w:rPr>
          <w:rFonts w:ascii="Times New Roman" w:hAnsi="Times New Roman"/>
          <w:kern w:val="0"/>
          <w:sz w:val="22"/>
        </w:rPr>
        <w:t xml:space="preserve">; </w:t>
      </w:r>
      <w:r>
        <w:rPr>
          <w:rFonts w:ascii="Times New Roman" w:hAnsi="Times New Roman"/>
          <w:kern w:val="0"/>
          <w:sz w:val="22"/>
        </w:rPr>
        <w:t>A</w:t>
      </w:r>
      <w:r w:rsidRPr="008D0733">
        <w:rPr>
          <w:rFonts w:ascii="Times New Roman" w:hAnsi="Times New Roman"/>
          <w:kern w:val="0"/>
          <w:sz w:val="22"/>
        </w:rPr>
        <w:t>therosclerotic cardiovascular disease</w:t>
      </w:r>
      <w:r w:rsidRPr="006D7307">
        <w:rPr>
          <w:rFonts w:ascii="Times New Roman" w:hAnsi="Times New Roman"/>
          <w:kern w:val="0"/>
          <w:sz w:val="22"/>
        </w:rPr>
        <w:t xml:space="preserve">; </w:t>
      </w:r>
      <w:r>
        <w:rPr>
          <w:rFonts w:ascii="Times New Roman" w:hAnsi="Times New Roman"/>
          <w:kern w:val="0"/>
          <w:sz w:val="22"/>
        </w:rPr>
        <w:t>S</w:t>
      </w:r>
      <w:r w:rsidRPr="008D0733">
        <w:rPr>
          <w:rFonts w:ascii="Times New Roman" w:hAnsi="Times New Roman"/>
          <w:kern w:val="0"/>
          <w:sz w:val="22"/>
        </w:rPr>
        <w:t>odium-glucose cotransporter 2 inhibitors</w:t>
      </w:r>
      <w:r w:rsidRPr="006D7307">
        <w:rPr>
          <w:rFonts w:ascii="Times New Roman" w:hAnsi="Times New Roman"/>
          <w:kern w:val="0"/>
          <w:sz w:val="22"/>
        </w:rPr>
        <w:t xml:space="preserve">; </w:t>
      </w:r>
      <w:r>
        <w:rPr>
          <w:rFonts w:ascii="Times New Roman" w:hAnsi="Times New Roman"/>
          <w:kern w:val="0"/>
          <w:sz w:val="22"/>
        </w:rPr>
        <w:t>G</w:t>
      </w:r>
      <w:r w:rsidRPr="008D0733">
        <w:rPr>
          <w:rFonts w:ascii="Times New Roman" w:hAnsi="Times New Roman"/>
          <w:kern w:val="0"/>
          <w:sz w:val="22"/>
        </w:rPr>
        <w:t xml:space="preserve">lucagon-like peptide-1 receptor </w:t>
      </w:r>
      <w:proofErr w:type="gramStart"/>
      <w:r w:rsidRPr="008D0733">
        <w:rPr>
          <w:rFonts w:ascii="Times New Roman" w:hAnsi="Times New Roman"/>
          <w:kern w:val="0"/>
          <w:sz w:val="22"/>
        </w:rPr>
        <w:t>agonist</w:t>
      </w:r>
      <w:r>
        <w:rPr>
          <w:rFonts w:ascii="Times New Roman" w:hAnsi="Times New Roman"/>
          <w:kern w:val="0"/>
          <w:sz w:val="22"/>
        </w:rPr>
        <w:t>s</w:t>
      </w:r>
      <w:proofErr w:type="gramEnd"/>
    </w:p>
    <w:p w:rsidR="009641A1" w:rsidRDefault="009641A1" w:rsidP="00CE68FB">
      <w:pPr>
        <w:tabs>
          <w:tab w:val="center" w:pos="4513"/>
          <w:tab w:val="left" w:pos="5510"/>
        </w:tabs>
        <w:spacing w:line="480" w:lineRule="auto"/>
        <w:jc w:val="center"/>
        <w:rPr>
          <w:rFonts w:ascii="Times New Roman" w:hAnsi="Times New Roman"/>
          <w:b/>
          <w:sz w:val="24"/>
          <w:szCs w:val="24"/>
        </w:rPr>
      </w:pPr>
      <w:r>
        <w:rPr>
          <w:rFonts w:ascii="Times New Roman" w:hAnsi="Times New Roman"/>
          <w:b/>
          <w:sz w:val="24"/>
          <w:szCs w:val="24"/>
        </w:rPr>
        <w:br w:type="page"/>
      </w:r>
    </w:p>
    <w:p w:rsidR="009641A1" w:rsidRPr="00DC134A" w:rsidRDefault="009641A1" w:rsidP="00CE68FB">
      <w:pPr>
        <w:tabs>
          <w:tab w:val="center" w:pos="4513"/>
          <w:tab w:val="left" w:pos="5510"/>
        </w:tabs>
        <w:spacing w:line="480" w:lineRule="auto"/>
        <w:jc w:val="center"/>
        <w:rPr>
          <w:rFonts w:ascii="Times New Roman" w:hAnsi="Times New Roman"/>
          <w:b/>
          <w:sz w:val="24"/>
          <w:szCs w:val="24"/>
        </w:rPr>
      </w:pPr>
      <w:r w:rsidRPr="00DC134A">
        <w:rPr>
          <w:rFonts w:ascii="Times New Roman" w:hAnsi="Times New Roman"/>
          <w:b/>
          <w:sz w:val="24"/>
          <w:szCs w:val="24"/>
        </w:rPr>
        <w:lastRenderedPageBreak/>
        <w:t>Abstract</w:t>
      </w:r>
    </w:p>
    <w:p w:rsidR="009641A1" w:rsidRPr="00DC134A" w:rsidRDefault="009641A1" w:rsidP="00CE68FB">
      <w:pPr>
        <w:tabs>
          <w:tab w:val="center" w:pos="4513"/>
          <w:tab w:val="left" w:pos="5510"/>
        </w:tabs>
        <w:spacing w:line="480" w:lineRule="auto"/>
        <w:rPr>
          <w:rFonts w:ascii="Times New Roman" w:hAnsi="Times New Roman"/>
          <w:b/>
          <w:sz w:val="24"/>
          <w:szCs w:val="24"/>
        </w:rPr>
      </w:pPr>
      <w:r w:rsidRPr="00DC134A">
        <w:rPr>
          <w:rFonts w:ascii="Times New Roman" w:hAnsi="Times New Roman"/>
          <w:b/>
          <w:sz w:val="24"/>
          <w:szCs w:val="24"/>
        </w:rPr>
        <w:t xml:space="preserve">Background: </w:t>
      </w:r>
    </w:p>
    <w:p w:rsidR="009641A1" w:rsidRPr="00DC134A" w:rsidRDefault="009641A1" w:rsidP="00CE68FB">
      <w:pPr>
        <w:tabs>
          <w:tab w:val="center" w:pos="4513"/>
          <w:tab w:val="left" w:pos="5510"/>
        </w:tabs>
        <w:spacing w:line="480" w:lineRule="auto"/>
        <w:rPr>
          <w:rFonts w:ascii="Times New Roman" w:hAnsi="Times New Roman"/>
          <w:sz w:val="24"/>
          <w:szCs w:val="24"/>
        </w:rPr>
      </w:pPr>
      <w:r w:rsidRPr="00DC134A">
        <w:rPr>
          <w:rFonts w:ascii="Times New Roman" w:hAnsi="Times New Roman"/>
          <w:sz w:val="24"/>
          <w:szCs w:val="24"/>
        </w:rPr>
        <w:t xml:space="preserve">  Despite cardiovascular benefits </w:t>
      </w:r>
      <w:r>
        <w:rPr>
          <w:rFonts w:ascii="Times New Roman" w:hAnsi="Times New Roman"/>
          <w:sz w:val="24"/>
          <w:szCs w:val="24"/>
        </w:rPr>
        <w:t>of</w:t>
      </w:r>
      <w:r w:rsidRPr="00DC134A">
        <w:rPr>
          <w:rFonts w:ascii="Times New Roman" w:hAnsi="Times New Roman"/>
          <w:sz w:val="24"/>
          <w:szCs w:val="24"/>
        </w:rPr>
        <w:t xml:space="preserve"> sodium-glucose cotransporter 2 inhibitors (SGLT2i) and glucagon-like peptide-1 receptor agonists (GLP1RA)</w:t>
      </w:r>
      <w:r>
        <w:rPr>
          <w:rFonts w:ascii="Times New Roman" w:hAnsi="Times New Roman"/>
          <w:sz w:val="24"/>
          <w:szCs w:val="24"/>
        </w:rPr>
        <w:t xml:space="preserve"> </w:t>
      </w:r>
      <w:r w:rsidRPr="00DC134A">
        <w:rPr>
          <w:rFonts w:ascii="Times New Roman" w:hAnsi="Times New Roman"/>
          <w:sz w:val="24"/>
          <w:szCs w:val="24"/>
        </w:rPr>
        <w:t xml:space="preserve">in patients with type 2 diabetes mellitus </w:t>
      </w:r>
      <w:r>
        <w:rPr>
          <w:rFonts w:ascii="Times New Roman" w:hAnsi="Times New Roman"/>
          <w:sz w:val="24"/>
          <w:szCs w:val="24"/>
        </w:rPr>
        <w:t>(</w:t>
      </w:r>
      <w:r w:rsidRPr="00DC134A">
        <w:rPr>
          <w:rFonts w:ascii="Times New Roman" w:hAnsi="Times New Roman"/>
          <w:sz w:val="24"/>
          <w:szCs w:val="24"/>
        </w:rPr>
        <w:t>T2DM</w:t>
      </w:r>
      <w:r>
        <w:rPr>
          <w:rFonts w:ascii="Times New Roman" w:hAnsi="Times New Roman"/>
          <w:sz w:val="24"/>
          <w:szCs w:val="24"/>
        </w:rPr>
        <w:t>)</w:t>
      </w:r>
      <w:r w:rsidRPr="00DC134A">
        <w:rPr>
          <w:rFonts w:ascii="Times New Roman" w:hAnsi="Times New Roman"/>
          <w:sz w:val="24"/>
          <w:szCs w:val="24"/>
        </w:rPr>
        <w:t xml:space="preserve"> and atherosclerotic cardiovascular disease (ASCVD), their utilization remains low</w:t>
      </w:r>
      <w:r>
        <w:rPr>
          <w:rFonts w:ascii="Times New Roman" w:hAnsi="Times New Roman"/>
          <w:sz w:val="24"/>
          <w:szCs w:val="24"/>
        </w:rPr>
        <w:t xml:space="preserve"> globally</w:t>
      </w:r>
      <w:r w:rsidRPr="00DC134A">
        <w:rPr>
          <w:rFonts w:ascii="Times New Roman" w:hAnsi="Times New Roman"/>
          <w:sz w:val="24"/>
          <w:szCs w:val="24"/>
        </w:rPr>
        <w:t>.</w:t>
      </w:r>
      <w:r>
        <w:rPr>
          <w:rFonts w:ascii="Times New Roman" w:hAnsi="Times New Roman"/>
          <w:sz w:val="24"/>
          <w:szCs w:val="24"/>
        </w:rPr>
        <w:t xml:space="preserve"> </w:t>
      </w:r>
      <w:r w:rsidRPr="00DC134A">
        <w:rPr>
          <w:rFonts w:ascii="Times New Roman" w:hAnsi="Times New Roman"/>
          <w:sz w:val="24"/>
          <w:szCs w:val="24"/>
        </w:rPr>
        <w:t xml:space="preserve">This study aimed to evaluate the utilization of SGLT2i and GLP1RA in patients with T2DM and ASCVD, as well as the factors </w:t>
      </w:r>
      <w:r>
        <w:rPr>
          <w:rFonts w:ascii="Times New Roman" w:hAnsi="Times New Roman"/>
          <w:sz w:val="24"/>
          <w:szCs w:val="24"/>
        </w:rPr>
        <w:t>associated with</w:t>
      </w:r>
      <w:r w:rsidRPr="00DC134A">
        <w:rPr>
          <w:rFonts w:ascii="Times New Roman" w:hAnsi="Times New Roman"/>
          <w:sz w:val="24"/>
          <w:szCs w:val="24"/>
        </w:rPr>
        <w:t xml:space="preserve"> medications in South Korea. </w:t>
      </w:r>
    </w:p>
    <w:p w:rsidR="009641A1" w:rsidRPr="00DC134A" w:rsidRDefault="009641A1" w:rsidP="00CE68FB">
      <w:pPr>
        <w:tabs>
          <w:tab w:val="center" w:pos="4513"/>
          <w:tab w:val="left" w:pos="5510"/>
        </w:tabs>
        <w:spacing w:line="480" w:lineRule="auto"/>
        <w:rPr>
          <w:rFonts w:ascii="Times New Roman" w:hAnsi="Times New Roman"/>
          <w:b/>
          <w:sz w:val="24"/>
          <w:szCs w:val="24"/>
        </w:rPr>
      </w:pPr>
      <w:r w:rsidRPr="00DC134A">
        <w:rPr>
          <w:rFonts w:ascii="Times New Roman" w:hAnsi="Times New Roman"/>
          <w:b/>
          <w:sz w:val="24"/>
          <w:szCs w:val="24"/>
        </w:rPr>
        <w:t>Methods:</w:t>
      </w:r>
    </w:p>
    <w:p w:rsidR="009641A1" w:rsidRPr="00DC134A" w:rsidRDefault="009641A1" w:rsidP="00DE1320">
      <w:pPr>
        <w:tabs>
          <w:tab w:val="center" w:pos="4513"/>
          <w:tab w:val="left" w:pos="5510"/>
        </w:tabs>
        <w:spacing w:line="480" w:lineRule="auto"/>
        <w:ind w:leftChars="-60" w:hangingChars="50" w:hanging="120"/>
        <w:rPr>
          <w:rFonts w:ascii="Times New Roman" w:hAnsi="Times New Roman"/>
          <w:sz w:val="24"/>
          <w:szCs w:val="24"/>
        </w:rPr>
      </w:pPr>
      <w:r w:rsidRPr="00DC134A">
        <w:rPr>
          <w:rFonts w:ascii="Times New Roman" w:hAnsi="Times New Roman"/>
          <w:sz w:val="24"/>
          <w:szCs w:val="24"/>
        </w:rPr>
        <w:t xml:space="preserve">  This retrospective study was conducted from 2015 to 2020, using National Patient Sample</w:t>
      </w:r>
      <w:r>
        <w:rPr>
          <w:rFonts w:ascii="Times New Roman" w:hAnsi="Times New Roman"/>
          <w:sz w:val="24"/>
          <w:szCs w:val="24"/>
        </w:rPr>
        <w:t xml:space="preserve"> claims </w:t>
      </w:r>
      <w:r w:rsidRPr="00DC134A">
        <w:rPr>
          <w:rFonts w:ascii="Times New Roman" w:hAnsi="Times New Roman"/>
          <w:sz w:val="24"/>
          <w:szCs w:val="24"/>
        </w:rPr>
        <w:t>data</w:t>
      </w:r>
      <w:r>
        <w:rPr>
          <w:rFonts w:ascii="Times New Roman" w:hAnsi="Times New Roman"/>
          <w:sz w:val="24"/>
          <w:szCs w:val="24"/>
        </w:rPr>
        <w:t xml:space="preserve">. </w:t>
      </w:r>
      <w:r w:rsidRPr="00DC134A">
        <w:rPr>
          <w:rFonts w:ascii="Times New Roman" w:hAnsi="Times New Roman"/>
          <w:sz w:val="24"/>
          <w:szCs w:val="24"/>
        </w:rPr>
        <w:t>The study population included adult patients with confirmed T2DM and ASCVD diagnosed between March 1 and October 31</w:t>
      </w:r>
      <w:r>
        <w:rPr>
          <w:rFonts w:ascii="Times New Roman" w:hAnsi="Times New Roman"/>
          <w:sz w:val="24"/>
          <w:szCs w:val="24"/>
        </w:rPr>
        <w:t xml:space="preserve"> </w:t>
      </w:r>
      <w:r>
        <w:rPr>
          <w:rFonts w:ascii="Times New Roman" w:hAnsi="Times New Roman" w:hint="eastAsia"/>
          <w:sz w:val="24"/>
          <w:szCs w:val="24"/>
        </w:rPr>
        <w:t>e</w:t>
      </w:r>
      <w:r>
        <w:rPr>
          <w:rFonts w:ascii="Times New Roman" w:hAnsi="Times New Roman"/>
          <w:sz w:val="24"/>
          <w:szCs w:val="24"/>
        </w:rPr>
        <w:t>ach year</w:t>
      </w:r>
      <w:r w:rsidRPr="00DC134A">
        <w:rPr>
          <w:rFonts w:ascii="Times New Roman" w:hAnsi="Times New Roman"/>
          <w:sz w:val="24"/>
          <w:szCs w:val="24"/>
        </w:rPr>
        <w:t xml:space="preserve">. Demographic and clinical characteristics, and influencing factors were investigated. </w:t>
      </w:r>
    </w:p>
    <w:p w:rsidR="009641A1" w:rsidRPr="00DC134A" w:rsidRDefault="009641A1" w:rsidP="00CE68FB">
      <w:pPr>
        <w:tabs>
          <w:tab w:val="center" w:pos="4513"/>
          <w:tab w:val="left" w:pos="5510"/>
        </w:tabs>
        <w:spacing w:line="480" w:lineRule="auto"/>
        <w:rPr>
          <w:rFonts w:ascii="Times New Roman" w:hAnsi="Times New Roman"/>
          <w:b/>
          <w:sz w:val="24"/>
          <w:szCs w:val="24"/>
        </w:rPr>
      </w:pPr>
      <w:r w:rsidRPr="00DC134A">
        <w:rPr>
          <w:rFonts w:ascii="Times New Roman" w:hAnsi="Times New Roman"/>
          <w:b/>
          <w:sz w:val="24"/>
          <w:szCs w:val="24"/>
        </w:rPr>
        <w:t xml:space="preserve">Results: </w:t>
      </w:r>
    </w:p>
    <w:p w:rsidR="009641A1" w:rsidRPr="00DC134A" w:rsidRDefault="009641A1" w:rsidP="00CE68FB">
      <w:pPr>
        <w:tabs>
          <w:tab w:val="center" w:pos="4513"/>
          <w:tab w:val="left" w:pos="5510"/>
        </w:tabs>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Among 57,576 study participants, SGLT2i use increased from 1.2 % to 10.51 % during the study period, whereas GLP1RA use increased slightly from 0 % to 1.17 %. </w:t>
      </w:r>
      <w:r>
        <w:rPr>
          <w:rFonts w:ascii="Times New Roman" w:hAnsi="Times New Roman"/>
          <w:sz w:val="24"/>
          <w:szCs w:val="24"/>
        </w:rPr>
        <w:t>O</w:t>
      </w:r>
      <w:r w:rsidRPr="00DC134A">
        <w:rPr>
          <w:rFonts w:ascii="Times New Roman" w:hAnsi="Times New Roman"/>
          <w:sz w:val="24"/>
          <w:szCs w:val="24"/>
        </w:rPr>
        <w:t xml:space="preserve">lder age, comorbid chronic kidney disease, concurrent use of dipeptidyl peptidase 4 inhibitors (DPP4i), and prescriptions from specific physician specialties negatively influenced SGLT2i use. Conversely, comorbid dyslipidemia, heart failure, concurrent use of sulfonylurea (SU), and prescriptions from cardiologists </w:t>
      </w:r>
      <w:r>
        <w:rPr>
          <w:rFonts w:ascii="Times New Roman" w:hAnsi="Times New Roman"/>
          <w:sz w:val="24"/>
          <w:szCs w:val="24"/>
        </w:rPr>
        <w:t>positively</w:t>
      </w:r>
      <w:r w:rsidRPr="00DC134A">
        <w:rPr>
          <w:rFonts w:ascii="Times New Roman" w:hAnsi="Times New Roman"/>
          <w:sz w:val="24"/>
          <w:szCs w:val="24"/>
        </w:rPr>
        <w:t xml:space="preserve"> influenced SGLT2i use. For GLP1RA, older age, concurrent DPP4i use, and specific physician specialty were negative factors, whereas female sex, dyslipidemia, insulin, and SU use were positive factors. </w:t>
      </w:r>
    </w:p>
    <w:p w:rsidR="009641A1" w:rsidRPr="00DC134A" w:rsidRDefault="009641A1" w:rsidP="0088279C">
      <w:pPr>
        <w:tabs>
          <w:tab w:val="center" w:pos="4513"/>
          <w:tab w:val="left" w:pos="5510"/>
        </w:tabs>
        <w:spacing w:line="480" w:lineRule="auto"/>
        <w:rPr>
          <w:rFonts w:ascii="Times New Roman" w:hAnsi="Times New Roman"/>
          <w:b/>
          <w:sz w:val="24"/>
          <w:szCs w:val="24"/>
        </w:rPr>
      </w:pPr>
      <w:r w:rsidRPr="00DC134A">
        <w:rPr>
          <w:rFonts w:ascii="Times New Roman" w:hAnsi="Times New Roman"/>
          <w:b/>
          <w:sz w:val="24"/>
          <w:szCs w:val="24"/>
        </w:rPr>
        <w:t xml:space="preserve">Conclusions: </w:t>
      </w:r>
    </w:p>
    <w:p w:rsidR="009641A1" w:rsidRPr="00DC134A" w:rsidRDefault="009641A1" w:rsidP="00CE68FB">
      <w:pPr>
        <w:tabs>
          <w:tab w:val="center" w:pos="4513"/>
          <w:tab w:val="left" w:pos="5510"/>
        </w:tabs>
        <w:spacing w:line="480" w:lineRule="auto"/>
        <w:ind w:firstLineChars="100" w:firstLine="240"/>
        <w:rPr>
          <w:rFonts w:ascii="Times New Roman" w:hAnsi="Times New Roman"/>
          <w:sz w:val="24"/>
          <w:szCs w:val="24"/>
        </w:rPr>
      </w:pPr>
      <w:r w:rsidRPr="00DC134A">
        <w:rPr>
          <w:rFonts w:ascii="Times New Roman" w:hAnsi="Times New Roman"/>
          <w:sz w:val="24"/>
          <w:szCs w:val="24"/>
        </w:rPr>
        <w:lastRenderedPageBreak/>
        <w:t xml:space="preserve">Despite </w:t>
      </w:r>
      <w:r>
        <w:rPr>
          <w:rFonts w:ascii="Times New Roman" w:hAnsi="Times New Roman"/>
          <w:sz w:val="24"/>
          <w:szCs w:val="24"/>
        </w:rPr>
        <w:t>increasing utilization,</w:t>
      </w:r>
      <w:r w:rsidRPr="00DC134A">
        <w:rPr>
          <w:rFonts w:ascii="Times New Roman" w:hAnsi="Times New Roman"/>
          <w:sz w:val="24"/>
          <w:szCs w:val="24"/>
        </w:rPr>
        <w:t xml:space="preserve"> 88.35 %</w:t>
      </w:r>
      <w:r>
        <w:rPr>
          <w:rFonts w:ascii="Times New Roman" w:hAnsi="Times New Roman"/>
          <w:sz w:val="24"/>
          <w:szCs w:val="24"/>
        </w:rPr>
        <w:t xml:space="preserve"> of eligible patients remained </w:t>
      </w:r>
      <w:r w:rsidRPr="00DC134A">
        <w:rPr>
          <w:rFonts w:ascii="Times New Roman" w:hAnsi="Times New Roman"/>
          <w:sz w:val="24"/>
          <w:szCs w:val="24"/>
        </w:rPr>
        <w:t>untreated with SGLT2i and GLP1RA as of 2020. This study highlights the disparities in utilization based on patient characteristics and physician specialties, emphasizing the need to remove barriers and enhance clinical benefits for high-risk patients.</w:t>
      </w:r>
    </w:p>
    <w:p w:rsidR="009641A1" w:rsidRPr="00DC134A" w:rsidRDefault="009641A1" w:rsidP="00CE68FB">
      <w:pPr>
        <w:tabs>
          <w:tab w:val="center" w:pos="4513"/>
          <w:tab w:val="left" w:pos="5510"/>
        </w:tabs>
        <w:spacing w:line="480" w:lineRule="auto"/>
        <w:rPr>
          <w:rFonts w:ascii="Times New Roman" w:hAnsi="Times New Roman"/>
          <w:b/>
          <w:sz w:val="24"/>
          <w:szCs w:val="24"/>
        </w:rPr>
      </w:pPr>
      <w:r w:rsidRPr="00DC134A">
        <w:rPr>
          <w:rFonts w:ascii="Times New Roman" w:hAnsi="Times New Roman"/>
          <w:b/>
          <w:sz w:val="24"/>
          <w:szCs w:val="24"/>
        </w:rPr>
        <w:br w:type="page"/>
      </w:r>
    </w:p>
    <w:p w:rsidR="009641A1" w:rsidRPr="006C60E5" w:rsidRDefault="009641A1" w:rsidP="00A50A86">
      <w:pPr>
        <w:wordWrap/>
        <w:spacing w:line="480" w:lineRule="auto"/>
        <w:rPr>
          <w:rFonts w:ascii="Times New Roman" w:hAnsi="Times New Roman"/>
          <w:sz w:val="24"/>
          <w:szCs w:val="24"/>
        </w:rPr>
      </w:pPr>
      <w:r w:rsidRPr="00DC134A">
        <w:rPr>
          <w:rFonts w:ascii="Times New Roman" w:hAnsi="Times New Roman"/>
          <w:b/>
          <w:sz w:val="28"/>
          <w:szCs w:val="28"/>
        </w:rPr>
        <w:lastRenderedPageBreak/>
        <w:t>Introduction</w:t>
      </w:r>
    </w:p>
    <w:p w:rsidR="009641A1" w:rsidRPr="00DC134A" w:rsidRDefault="009641A1" w:rsidP="00154904">
      <w:pPr>
        <w:wordWrap/>
        <w:spacing w:line="480" w:lineRule="auto"/>
        <w:ind w:firstLine="195"/>
        <w:rPr>
          <w:rFonts w:ascii="Times New Roman" w:hAnsi="Times New Roman"/>
          <w:sz w:val="24"/>
          <w:szCs w:val="24"/>
        </w:rPr>
      </w:pPr>
      <w:bookmarkStart w:id="2" w:name="_Hlk145592179"/>
      <w:r w:rsidRPr="00DC134A">
        <w:rPr>
          <w:rFonts w:ascii="Times New Roman" w:hAnsi="Times New Roman"/>
          <w:sz w:val="24"/>
          <w:szCs w:val="24"/>
        </w:rPr>
        <w:t xml:space="preserve">Type 2 </w:t>
      </w:r>
      <w:r>
        <w:rPr>
          <w:rFonts w:ascii="Times New Roman" w:hAnsi="Times New Roman"/>
          <w:sz w:val="24"/>
          <w:szCs w:val="24"/>
        </w:rPr>
        <w:t>d</w:t>
      </w:r>
      <w:r w:rsidRPr="00DC134A">
        <w:rPr>
          <w:rFonts w:ascii="Times New Roman" w:hAnsi="Times New Roman"/>
          <w:sz w:val="24"/>
          <w:szCs w:val="24"/>
        </w:rPr>
        <w:t xml:space="preserve">iabetes </w:t>
      </w:r>
      <w:r>
        <w:rPr>
          <w:rFonts w:ascii="Times New Roman" w:hAnsi="Times New Roman"/>
          <w:sz w:val="24"/>
          <w:szCs w:val="24"/>
        </w:rPr>
        <w:t>m</w:t>
      </w:r>
      <w:r w:rsidRPr="00DC134A">
        <w:rPr>
          <w:rFonts w:ascii="Times New Roman" w:hAnsi="Times New Roman"/>
          <w:sz w:val="24"/>
          <w:szCs w:val="24"/>
        </w:rPr>
        <w:t xml:space="preserve">ellitus </w:t>
      </w:r>
      <w:bookmarkEnd w:id="2"/>
      <w:r w:rsidRPr="00DC134A">
        <w:rPr>
          <w:rFonts w:ascii="Times New Roman" w:hAnsi="Times New Roman"/>
          <w:sz w:val="24"/>
          <w:szCs w:val="24"/>
        </w:rPr>
        <w:t>(T2DM) is a common chronic condition affecting millions of people worldwide</w:t>
      </w:r>
      <w:r w:rsidRPr="00FD7743">
        <w:rPr>
          <w:rFonts w:ascii="Times New Roman" w:hAnsi="Times New Roman"/>
          <w:noProof/>
          <w:sz w:val="24"/>
          <w:szCs w:val="24"/>
          <w:vertAlign w:val="superscript"/>
        </w:rPr>
        <w:t>1</w:t>
      </w:r>
      <w:r w:rsidRPr="00DC134A">
        <w:rPr>
          <w:rFonts w:ascii="Times New Roman" w:hAnsi="Times New Roman"/>
          <w:sz w:val="24"/>
          <w:szCs w:val="24"/>
        </w:rPr>
        <w:t xml:space="preserve"> </w:t>
      </w:r>
      <w:r>
        <w:rPr>
          <w:rFonts w:ascii="Times New Roman" w:hAnsi="Times New Roman"/>
          <w:sz w:val="24"/>
          <w:szCs w:val="24"/>
        </w:rPr>
        <w:t>and t</w:t>
      </w:r>
      <w:r w:rsidRPr="00DC134A">
        <w:rPr>
          <w:rFonts w:ascii="Times New Roman" w:hAnsi="Times New Roman"/>
          <w:sz w:val="24"/>
          <w:szCs w:val="24"/>
        </w:rPr>
        <w:t>he prevalence of T2DM continues to increase</w:t>
      </w:r>
      <w:r>
        <w:rPr>
          <w:rFonts w:ascii="Times New Roman" w:hAnsi="Times New Roman"/>
          <w:sz w:val="24"/>
          <w:szCs w:val="24"/>
        </w:rPr>
        <w:t>.</w:t>
      </w:r>
      <w:r w:rsidRPr="00FD7743">
        <w:rPr>
          <w:rFonts w:ascii="Times New Roman" w:hAnsi="Times New Roman"/>
          <w:noProof/>
          <w:sz w:val="24"/>
          <w:szCs w:val="24"/>
          <w:vertAlign w:val="superscript"/>
        </w:rPr>
        <w:t xml:space="preserve"> 2</w:t>
      </w:r>
      <w:r w:rsidRPr="00DC134A">
        <w:rPr>
          <w:rFonts w:ascii="Times New Roman" w:hAnsi="Times New Roman"/>
          <w:sz w:val="24"/>
          <w:szCs w:val="24"/>
        </w:rPr>
        <w:t xml:space="preserve"> T2DM is an important risk factor for </w:t>
      </w:r>
      <w:bookmarkStart w:id="3" w:name="_Hlk145592188"/>
      <w:r w:rsidRPr="00DC134A">
        <w:rPr>
          <w:rFonts w:ascii="Times New Roman" w:hAnsi="Times New Roman"/>
          <w:sz w:val="24"/>
          <w:szCs w:val="24"/>
        </w:rPr>
        <w:t>atherosclerotic cardiovascular disease</w:t>
      </w:r>
      <w:bookmarkEnd w:id="3"/>
      <w:r w:rsidRPr="00DC134A">
        <w:rPr>
          <w:rFonts w:ascii="Times New Roman" w:hAnsi="Times New Roman"/>
          <w:sz w:val="24"/>
          <w:szCs w:val="24"/>
        </w:rPr>
        <w:t xml:space="preserve"> (ASCVD), making it imperative to effectively address its associated risks</w:t>
      </w:r>
      <w:r>
        <w:rPr>
          <w:rFonts w:ascii="Times New Roman" w:hAnsi="Times New Roman"/>
          <w:sz w:val="24"/>
          <w:szCs w:val="24"/>
        </w:rPr>
        <w:t>.</w:t>
      </w:r>
      <w:r w:rsidRPr="00FD7743">
        <w:rPr>
          <w:rFonts w:ascii="Times New Roman" w:hAnsi="Times New Roman"/>
          <w:noProof/>
          <w:sz w:val="24"/>
          <w:szCs w:val="24"/>
          <w:vertAlign w:val="superscript"/>
        </w:rPr>
        <w:t xml:space="preserve"> 3,4</w:t>
      </w:r>
      <w:r w:rsidRPr="00DC134A">
        <w:rPr>
          <w:rFonts w:ascii="Times New Roman" w:hAnsi="Times New Roman"/>
          <w:sz w:val="24"/>
          <w:szCs w:val="24"/>
        </w:rPr>
        <w:t xml:space="preserve"> </w:t>
      </w:r>
      <w:r>
        <w:rPr>
          <w:rFonts w:ascii="Times New Roman" w:hAnsi="Times New Roman"/>
          <w:sz w:val="24"/>
          <w:szCs w:val="24"/>
        </w:rPr>
        <w:t>Particularly</w:t>
      </w:r>
      <w:r w:rsidRPr="00DC134A">
        <w:rPr>
          <w:rFonts w:ascii="Times New Roman" w:hAnsi="Times New Roman"/>
          <w:sz w:val="24"/>
          <w:szCs w:val="24"/>
        </w:rPr>
        <w:t xml:space="preserve">, individuals with both T2DM and ASCVD have higher risk for cardiovascular disease (CVD) and related mortality than those with T2DM alone, highlighting the importance of proactive CVD management and prevention </w:t>
      </w:r>
      <w:r>
        <w:rPr>
          <w:rFonts w:ascii="Times New Roman" w:hAnsi="Times New Roman"/>
          <w:sz w:val="24"/>
          <w:szCs w:val="24"/>
        </w:rPr>
        <w:t>in</w:t>
      </w:r>
      <w:r w:rsidRPr="00DC134A">
        <w:rPr>
          <w:rFonts w:ascii="Times New Roman" w:hAnsi="Times New Roman"/>
          <w:sz w:val="24"/>
          <w:szCs w:val="24"/>
        </w:rPr>
        <w:t xml:space="preserve"> this particular population</w:t>
      </w:r>
      <w:r>
        <w:rPr>
          <w:rFonts w:ascii="Times New Roman" w:hAnsi="Times New Roman"/>
          <w:sz w:val="24"/>
          <w:szCs w:val="24"/>
        </w:rPr>
        <w:t>.</w:t>
      </w:r>
      <w:r w:rsidRPr="00FD7743">
        <w:rPr>
          <w:rFonts w:ascii="Times New Roman" w:hAnsi="Times New Roman"/>
          <w:noProof/>
          <w:sz w:val="24"/>
          <w:szCs w:val="24"/>
          <w:vertAlign w:val="superscript"/>
        </w:rPr>
        <w:t xml:space="preserve"> 5</w:t>
      </w:r>
      <w:r w:rsidRPr="00DC134A">
        <w:rPr>
          <w:rFonts w:ascii="Times New Roman" w:hAnsi="Times New Roman"/>
          <w:sz w:val="24"/>
          <w:szCs w:val="24"/>
        </w:rPr>
        <w:t xml:space="preserve"> </w:t>
      </w:r>
    </w:p>
    <w:p w:rsidR="009641A1" w:rsidRPr="00DC134A" w:rsidRDefault="009641A1" w:rsidP="005B40D0">
      <w:pPr>
        <w:wordWrap/>
        <w:spacing w:line="480" w:lineRule="auto"/>
        <w:ind w:firstLine="195"/>
        <w:rPr>
          <w:rFonts w:ascii="Times New Roman" w:hAnsi="Times New Roman"/>
          <w:sz w:val="24"/>
          <w:szCs w:val="24"/>
        </w:rPr>
      </w:pPr>
      <w:r w:rsidRPr="00DC134A">
        <w:rPr>
          <w:rFonts w:ascii="Times New Roman" w:hAnsi="Times New Roman"/>
          <w:sz w:val="24"/>
          <w:szCs w:val="24"/>
        </w:rPr>
        <w:t>In recent years, several large clinical trials have been conducted to examine the cardiovascular risk reduction benefits of various antidiabetic agents</w:t>
      </w:r>
      <w:r>
        <w:rPr>
          <w:rFonts w:ascii="Times New Roman" w:hAnsi="Times New Roman"/>
          <w:sz w:val="24"/>
          <w:szCs w:val="24"/>
        </w:rPr>
        <w:t>.</w:t>
      </w:r>
      <w:r w:rsidRPr="00FD7743">
        <w:rPr>
          <w:rFonts w:ascii="Times New Roman" w:hAnsi="Times New Roman"/>
          <w:noProof/>
          <w:sz w:val="24"/>
          <w:szCs w:val="24"/>
          <w:vertAlign w:val="superscript"/>
        </w:rPr>
        <w:t xml:space="preserve"> 6-12</w:t>
      </w:r>
      <w:r w:rsidRPr="00DC134A">
        <w:rPr>
          <w:rFonts w:ascii="Times New Roman" w:hAnsi="Times New Roman"/>
          <w:sz w:val="24"/>
          <w:szCs w:val="24"/>
        </w:rPr>
        <w:t xml:space="preserve"> Among these agents, sodium-glucose cotransporter 2 inhibitors (SGLT2i) and glucagon-like peptide-1 receptor agonists (GLP1RA) have demonstrated cardiovascular protective effects</w:t>
      </w:r>
      <w:r>
        <w:rPr>
          <w:rFonts w:ascii="Times New Roman" w:hAnsi="Times New Roman"/>
          <w:sz w:val="24"/>
          <w:szCs w:val="24"/>
        </w:rPr>
        <w:t>.</w:t>
      </w:r>
      <w:r w:rsidRPr="00FD7743">
        <w:rPr>
          <w:rFonts w:ascii="Times New Roman" w:hAnsi="Times New Roman"/>
          <w:noProof/>
          <w:sz w:val="24"/>
          <w:szCs w:val="24"/>
          <w:vertAlign w:val="superscript"/>
        </w:rPr>
        <w:t xml:space="preserve"> 6-8,10-12</w:t>
      </w:r>
      <w:r w:rsidRPr="00DC134A">
        <w:rPr>
          <w:rFonts w:ascii="Times New Roman" w:hAnsi="Times New Roman"/>
          <w:sz w:val="24"/>
          <w:szCs w:val="24"/>
        </w:rPr>
        <w:t xml:space="preserve"> In individuals with T2DM, SGLT2i and GLP1RA have been shown to reduce major adverse cardiovascular events (MACE) by 11</w:t>
      </w:r>
      <w:r>
        <w:rPr>
          <w:rFonts w:ascii="Times New Roman" w:hAnsi="Times New Roman"/>
          <w:sz w:val="24"/>
          <w:szCs w:val="24"/>
        </w:rPr>
        <w:t xml:space="preserve"> </w:t>
      </w:r>
      <w:r w:rsidRPr="00DC134A">
        <w:rPr>
          <w:rFonts w:ascii="Times New Roman" w:hAnsi="Times New Roman"/>
          <w:sz w:val="24"/>
          <w:szCs w:val="24"/>
        </w:rPr>
        <w:t>% and 12</w:t>
      </w:r>
      <w:r>
        <w:rPr>
          <w:rFonts w:ascii="Times New Roman" w:hAnsi="Times New Roman"/>
          <w:sz w:val="24"/>
          <w:szCs w:val="24"/>
        </w:rPr>
        <w:t xml:space="preserve"> </w:t>
      </w:r>
      <w:r w:rsidRPr="00DC134A">
        <w:rPr>
          <w:rFonts w:ascii="Times New Roman" w:hAnsi="Times New Roman"/>
          <w:sz w:val="24"/>
          <w:szCs w:val="24"/>
        </w:rPr>
        <w:t>%, respectively</w:t>
      </w:r>
      <w:r>
        <w:rPr>
          <w:rFonts w:ascii="Times New Roman" w:hAnsi="Times New Roman"/>
          <w:sz w:val="24"/>
          <w:szCs w:val="24"/>
        </w:rPr>
        <w:t>.</w:t>
      </w:r>
      <w:r w:rsidRPr="00FD7743">
        <w:rPr>
          <w:rFonts w:ascii="Times New Roman" w:hAnsi="Times New Roman"/>
          <w:noProof/>
          <w:sz w:val="24"/>
          <w:szCs w:val="24"/>
          <w:vertAlign w:val="superscript"/>
        </w:rPr>
        <w:t xml:space="preserve"> 13,14</w:t>
      </w:r>
      <w:r w:rsidRPr="00DC134A">
        <w:rPr>
          <w:rFonts w:ascii="Times New Roman" w:hAnsi="Times New Roman"/>
          <w:sz w:val="24"/>
          <w:szCs w:val="24"/>
        </w:rPr>
        <w:t xml:space="preserve"> Moreover, these agents have also demonstrated a substantial reduction in MACE, with a 14</w:t>
      </w:r>
      <w:r>
        <w:rPr>
          <w:rFonts w:ascii="Times New Roman" w:hAnsi="Times New Roman"/>
          <w:sz w:val="24"/>
          <w:szCs w:val="24"/>
        </w:rPr>
        <w:t xml:space="preserve"> </w:t>
      </w:r>
      <w:r w:rsidRPr="00DC134A">
        <w:rPr>
          <w:rFonts w:ascii="Times New Roman" w:hAnsi="Times New Roman"/>
          <w:sz w:val="24"/>
          <w:szCs w:val="24"/>
        </w:rPr>
        <w:t>% reduction for SGLT2i and a 13</w:t>
      </w:r>
      <w:r>
        <w:rPr>
          <w:rFonts w:ascii="Times New Roman" w:hAnsi="Times New Roman"/>
          <w:sz w:val="24"/>
          <w:szCs w:val="24"/>
        </w:rPr>
        <w:t xml:space="preserve"> </w:t>
      </w:r>
      <w:r w:rsidRPr="00DC134A">
        <w:rPr>
          <w:rFonts w:ascii="Times New Roman" w:hAnsi="Times New Roman"/>
          <w:sz w:val="24"/>
          <w:szCs w:val="24"/>
        </w:rPr>
        <w:t xml:space="preserve">% reduction for GLP1RA in individuals with </w:t>
      </w:r>
      <w:r>
        <w:rPr>
          <w:rFonts w:ascii="Times New Roman" w:hAnsi="Times New Roman"/>
          <w:sz w:val="24"/>
          <w:szCs w:val="24"/>
        </w:rPr>
        <w:t>concurrent</w:t>
      </w:r>
      <w:r w:rsidRPr="00DC134A">
        <w:rPr>
          <w:rFonts w:ascii="Times New Roman" w:hAnsi="Times New Roman"/>
          <w:sz w:val="24"/>
          <w:szCs w:val="24"/>
        </w:rPr>
        <w:t xml:space="preserve"> ASCVD</w:t>
      </w:r>
      <w:r>
        <w:rPr>
          <w:rFonts w:ascii="Times New Roman" w:hAnsi="Times New Roman"/>
          <w:sz w:val="24"/>
          <w:szCs w:val="24"/>
        </w:rPr>
        <w:t>.</w:t>
      </w:r>
      <w:r w:rsidRPr="00FD7743">
        <w:rPr>
          <w:rFonts w:ascii="Times New Roman" w:hAnsi="Times New Roman"/>
          <w:noProof/>
          <w:sz w:val="24"/>
          <w:szCs w:val="24"/>
          <w:vertAlign w:val="superscript"/>
        </w:rPr>
        <w:t xml:space="preserve"> 13,14</w:t>
      </w:r>
      <w:r w:rsidRPr="00DC134A">
        <w:rPr>
          <w:rFonts w:ascii="Times New Roman" w:hAnsi="Times New Roman"/>
          <w:sz w:val="24"/>
          <w:szCs w:val="24"/>
        </w:rPr>
        <w:t xml:space="preserve"> The accumulating evidence from these trials had led to a paradigm shift in the utilization</w:t>
      </w:r>
      <w:r>
        <w:rPr>
          <w:rFonts w:ascii="Times New Roman" w:hAnsi="Times New Roman"/>
          <w:sz w:val="24"/>
          <w:szCs w:val="24"/>
        </w:rPr>
        <w:t xml:space="preserve"> of these agents</w:t>
      </w:r>
      <w:r w:rsidRPr="00DC134A">
        <w:rPr>
          <w:rFonts w:ascii="Times New Roman" w:hAnsi="Times New Roman"/>
          <w:sz w:val="24"/>
          <w:szCs w:val="24"/>
        </w:rPr>
        <w:t>. As a result, the updated guidelines of the American Diabetes Association (ADA), European Association for the Study of Diabetes (EASD), and Korean Diabetes Association (KDA) recommend the use of SGLT2i and GLP1RA in patients with T2DM and ASCVD</w:t>
      </w:r>
      <w:r>
        <w:rPr>
          <w:rFonts w:ascii="Times New Roman" w:hAnsi="Times New Roman"/>
          <w:sz w:val="24"/>
          <w:szCs w:val="24"/>
        </w:rPr>
        <w:t xml:space="preserve"> </w:t>
      </w:r>
      <w:r w:rsidRPr="00DC134A">
        <w:rPr>
          <w:rFonts w:ascii="Times New Roman" w:hAnsi="Times New Roman"/>
          <w:sz w:val="24"/>
          <w:szCs w:val="24"/>
        </w:rPr>
        <w:t>to mitigate cardiovascular risk</w:t>
      </w:r>
      <w:r>
        <w:rPr>
          <w:rFonts w:ascii="Times New Roman" w:hAnsi="Times New Roman"/>
          <w:sz w:val="24"/>
          <w:szCs w:val="24"/>
        </w:rPr>
        <w:t>.</w:t>
      </w:r>
      <w:r w:rsidRPr="00FD7743">
        <w:rPr>
          <w:rFonts w:ascii="Times New Roman" w:hAnsi="Times New Roman"/>
          <w:noProof/>
          <w:sz w:val="24"/>
          <w:szCs w:val="24"/>
          <w:vertAlign w:val="superscript"/>
        </w:rPr>
        <w:t xml:space="preserve"> 15-17</w:t>
      </w:r>
    </w:p>
    <w:p w:rsidR="009641A1" w:rsidRPr="00DC134A" w:rsidRDefault="009641A1" w:rsidP="005B40D0">
      <w:pPr>
        <w:wordWrap/>
        <w:spacing w:line="480" w:lineRule="auto"/>
        <w:ind w:firstLine="195"/>
        <w:rPr>
          <w:rFonts w:ascii="Times New Roman" w:hAnsi="Times New Roman"/>
          <w:sz w:val="24"/>
          <w:szCs w:val="24"/>
        </w:rPr>
      </w:pPr>
      <w:r w:rsidRPr="00DC134A">
        <w:rPr>
          <w:rFonts w:ascii="Times New Roman" w:hAnsi="Times New Roman"/>
          <w:sz w:val="24"/>
          <w:szCs w:val="24"/>
        </w:rPr>
        <w:t xml:space="preserve">Despite these updated guidelines, global </w:t>
      </w:r>
      <w:r>
        <w:rPr>
          <w:rFonts w:ascii="Times New Roman" w:hAnsi="Times New Roman"/>
          <w:sz w:val="24"/>
          <w:szCs w:val="24"/>
        </w:rPr>
        <w:t>data</w:t>
      </w:r>
      <w:r w:rsidRPr="00DC134A">
        <w:rPr>
          <w:rFonts w:ascii="Times New Roman" w:hAnsi="Times New Roman"/>
          <w:sz w:val="24"/>
          <w:szCs w:val="24"/>
        </w:rPr>
        <w:t xml:space="preserve"> have indicated insufficient utilization of SGLT2i and GLP1RA</w:t>
      </w:r>
      <w:r>
        <w:rPr>
          <w:rFonts w:ascii="Times New Roman" w:hAnsi="Times New Roman"/>
          <w:sz w:val="24"/>
          <w:szCs w:val="24"/>
        </w:rPr>
        <w:t>.</w:t>
      </w:r>
      <w:r w:rsidRPr="00FD7743">
        <w:rPr>
          <w:rFonts w:ascii="Times New Roman" w:hAnsi="Times New Roman"/>
          <w:noProof/>
          <w:sz w:val="24"/>
          <w:szCs w:val="24"/>
          <w:vertAlign w:val="superscript"/>
        </w:rPr>
        <w:t xml:space="preserve"> 18-25</w:t>
      </w:r>
      <w:r w:rsidRPr="00DC134A">
        <w:rPr>
          <w:rFonts w:ascii="Times New Roman" w:hAnsi="Times New Roman"/>
          <w:sz w:val="24"/>
          <w:szCs w:val="24"/>
        </w:rPr>
        <w:t xml:space="preserve"> </w:t>
      </w:r>
      <w:r>
        <w:rPr>
          <w:rFonts w:ascii="Times New Roman" w:hAnsi="Times New Roman"/>
          <w:sz w:val="24"/>
          <w:szCs w:val="24"/>
        </w:rPr>
        <w:t>A</w:t>
      </w:r>
      <w:r w:rsidRPr="00DC134A">
        <w:rPr>
          <w:rFonts w:ascii="Times New Roman" w:hAnsi="Times New Roman"/>
          <w:sz w:val="24"/>
          <w:szCs w:val="24"/>
        </w:rPr>
        <w:t xml:space="preserve"> nationwide study </w:t>
      </w:r>
      <w:r>
        <w:rPr>
          <w:rFonts w:ascii="Times New Roman" w:hAnsi="Times New Roman"/>
          <w:sz w:val="24"/>
          <w:szCs w:val="24"/>
        </w:rPr>
        <w:t xml:space="preserve">in the United States </w:t>
      </w:r>
      <w:r w:rsidRPr="00DC134A">
        <w:rPr>
          <w:rFonts w:ascii="Times New Roman" w:hAnsi="Times New Roman"/>
          <w:sz w:val="24"/>
          <w:szCs w:val="24"/>
        </w:rPr>
        <w:t xml:space="preserve">showed that </w:t>
      </w:r>
      <w:r>
        <w:rPr>
          <w:rFonts w:ascii="Times New Roman" w:hAnsi="Times New Roman"/>
          <w:sz w:val="24"/>
          <w:szCs w:val="24"/>
        </w:rPr>
        <w:t xml:space="preserve">the </w:t>
      </w:r>
      <w:r w:rsidRPr="00DC134A">
        <w:rPr>
          <w:rFonts w:ascii="Times New Roman" w:hAnsi="Times New Roman"/>
          <w:sz w:val="24"/>
          <w:szCs w:val="24"/>
        </w:rPr>
        <w:t xml:space="preserve">utilization </w:t>
      </w:r>
      <w:r w:rsidRPr="00DC134A">
        <w:rPr>
          <w:rFonts w:ascii="Times New Roman" w:hAnsi="Times New Roman"/>
          <w:sz w:val="24"/>
          <w:szCs w:val="24"/>
        </w:rPr>
        <w:lastRenderedPageBreak/>
        <w:t>rate of SGLT2i and GLP1RA increased between 2018 and 2021 in patients with T2DM and ASCVD</w:t>
      </w:r>
      <w:r>
        <w:rPr>
          <w:rFonts w:ascii="Times New Roman" w:hAnsi="Times New Roman"/>
          <w:sz w:val="24"/>
          <w:szCs w:val="24"/>
        </w:rPr>
        <w:t>; however</w:t>
      </w:r>
      <w:r w:rsidRPr="00DC134A">
        <w:rPr>
          <w:rFonts w:ascii="Times New Roman" w:hAnsi="Times New Roman"/>
          <w:sz w:val="24"/>
          <w:szCs w:val="24"/>
        </w:rPr>
        <w:t>, these agents remained underused in comparison with other antidiabetic agents, such as sulfonylureas (SU) and dipeptidyl-peptidase 4 inhibitors (DPP4i)</w:t>
      </w:r>
      <w:r>
        <w:rPr>
          <w:rFonts w:ascii="Times New Roman" w:hAnsi="Times New Roman"/>
          <w:sz w:val="24"/>
          <w:szCs w:val="24"/>
        </w:rPr>
        <w:t>.</w:t>
      </w:r>
      <w:r w:rsidRPr="00FD7743">
        <w:rPr>
          <w:rFonts w:ascii="Times New Roman" w:hAnsi="Times New Roman"/>
          <w:noProof/>
          <w:sz w:val="24"/>
          <w:szCs w:val="24"/>
          <w:vertAlign w:val="superscript"/>
        </w:rPr>
        <w:t xml:space="preserve"> 19</w:t>
      </w:r>
      <w:r w:rsidRPr="00DC134A">
        <w:rPr>
          <w:rFonts w:ascii="Times New Roman" w:hAnsi="Times New Roman"/>
          <w:sz w:val="24"/>
          <w:szCs w:val="24"/>
        </w:rPr>
        <w:t xml:space="preserve"> Similarly, a study conducted in the United Kingdom revealed an increase in </w:t>
      </w:r>
      <w:r>
        <w:rPr>
          <w:rFonts w:ascii="Times New Roman" w:hAnsi="Times New Roman"/>
          <w:sz w:val="24"/>
          <w:szCs w:val="24"/>
        </w:rPr>
        <w:t xml:space="preserve">the </w:t>
      </w:r>
      <w:r w:rsidRPr="00DC134A">
        <w:rPr>
          <w:rFonts w:ascii="Times New Roman" w:hAnsi="Times New Roman"/>
          <w:sz w:val="24"/>
          <w:szCs w:val="24"/>
        </w:rPr>
        <w:t xml:space="preserve">utilization rate of SGLT2i and GLP1RA in </w:t>
      </w:r>
      <w:r>
        <w:rPr>
          <w:rFonts w:ascii="Times New Roman" w:hAnsi="Times New Roman"/>
          <w:sz w:val="24"/>
          <w:szCs w:val="24"/>
        </w:rPr>
        <w:t>patients</w:t>
      </w:r>
      <w:r w:rsidRPr="00DC134A">
        <w:rPr>
          <w:rFonts w:ascii="Times New Roman" w:hAnsi="Times New Roman"/>
          <w:sz w:val="24"/>
          <w:szCs w:val="24"/>
        </w:rPr>
        <w:t xml:space="preserve"> with T2DM and CVD</w:t>
      </w:r>
      <w:r>
        <w:rPr>
          <w:rFonts w:ascii="Times New Roman" w:hAnsi="Times New Roman"/>
          <w:sz w:val="24"/>
          <w:szCs w:val="24"/>
        </w:rPr>
        <w:t>;</w:t>
      </w:r>
      <w:r w:rsidRPr="00DC134A">
        <w:rPr>
          <w:rFonts w:ascii="Times New Roman" w:hAnsi="Times New Roman"/>
          <w:sz w:val="24"/>
          <w:szCs w:val="24"/>
        </w:rPr>
        <w:t xml:space="preserve"> </w:t>
      </w:r>
      <w:r>
        <w:rPr>
          <w:rFonts w:ascii="Times New Roman" w:hAnsi="Times New Roman"/>
          <w:sz w:val="24"/>
          <w:szCs w:val="24"/>
        </w:rPr>
        <w:t>n</w:t>
      </w:r>
      <w:r w:rsidRPr="00DC134A">
        <w:rPr>
          <w:rFonts w:ascii="Times New Roman" w:hAnsi="Times New Roman"/>
          <w:sz w:val="24"/>
          <w:szCs w:val="24"/>
        </w:rPr>
        <w:t>evertheless, these agents were less commonly prescribed to patients with concomitant CVD than to those without CVD</w:t>
      </w:r>
      <w:r>
        <w:rPr>
          <w:rFonts w:ascii="Times New Roman" w:hAnsi="Times New Roman"/>
          <w:sz w:val="24"/>
          <w:szCs w:val="24"/>
        </w:rPr>
        <w:t>.</w:t>
      </w:r>
      <w:r w:rsidRPr="00FD7743">
        <w:rPr>
          <w:rFonts w:ascii="Times New Roman" w:hAnsi="Times New Roman"/>
          <w:noProof/>
          <w:sz w:val="24"/>
          <w:szCs w:val="24"/>
          <w:vertAlign w:val="superscript"/>
        </w:rPr>
        <w:t xml:space="preserve"> 20</w:t>
      </w:r>
      <w:r w:rsidRPr="00DC134A">
        <w:rPr>
          <w:rFonts w:ascii="Times New Roman" w:hAnsi="Times New Roman"/>
          <w:sz w:val="24"/>
          <w:szCs w:val="24"/>
        </w:rPr>
        <w:t xml:space="preserve"> </w:t>
      </w:r>
      <w:r>
        <w:rPr>
          <w:rFonts w:ascii="Times New Roman" w:hAnsi="Times New Roman"/>
          <w:sz w:val="24"/>
          <w:szCs w:val="24"/>
        </w:rPr>
        <w:t xml:space="preserve">A </w:t>
      </w:r>
      <w:r w:rsidRPr="00DC134A">
        <w:rPr>
          <w:rFonts w:ascii="Times New Roman" w:hAnsi="Times New Roman"/>
          <w:sz w:val="24"/>
          <w:szCs w:val="24"/>
        </w:rPr>
        <w:t xml:space="preserve">Canadian </w:t>
      </w:r>
      <w:r>
        <w:rPr>
          <w:rFonts w:ascii="Times New Roman" w:hAnsi="Times New Roman"/>
          <w:sz w:val="24"/>
          <w:szCs w:val="24"/>
        </w:rPr>
        <w:t xml:space="preserve">regionwide </w:t>
      </w:r>
      <w:r w:rsidRPr="00DC134A">
        <w:rPr>
          <w:rFonts w:ascii="Times New Roman" w:hAnsi="Times New Roman"/>
          <w:sz w:val="24"/>
          <w:szCs w:val="24"/>
        </w:rPr>
        <w:t>study demonstrated increased use of SGLT2i and GLP1RA</w:t>
      </w:r>
      <w:r>
        <w:rPr>
          <w:rFonts w:ascii="Times New Roman" w:hAnsi="Times New Roman"/>
          <w:sz w:val="24"/>
          <w:szCs w:val="24"/>
        </w:rPr>
        <w:t xml:space="preserve">, but their utilization for cardioprotection </w:t>
      </w:r>
      <w:r w:rsidRPr="00DC134A">
        <w:rPr>
          <w:rFonts w:ascii="Times New Roman" w:hAnsi="Times New Roman"/>
          <w:sz w:val="24"/>
          <w:szCs w:val="24"/>
        </w:rPr>
        <w:t xml:space="preserve">still </w:t>
      </w:r>
      <w:r>
        <w:rPr>
          <w:rFonts w:ascii="Times New Roman" w:hAnsi="Times New Roman"/>
          <w:sz w:val="24"/>
          <w:szCs w:val="24"/>
        </w:rPr>
        <w:t>falls</w:t>
      </w:r>
      <w:r w:rsidRPr="00DC134A">
        <w:rPr>
          <w:rFonts w:ascii="Times New Roman" w:hAnsi="Times New Roman"/>
          <w:sz w:val="24"/>
          <w:szCs w:val="24"/>
        </w:rPr>
        <w:t xml:space="preserve"> behind well-established </w:t>
      </w:r>
      <w:r>
        <w:rPr>
          <w:rFonts w:ascii="Times New Roman" w:hAnsi="Times New Roman"/>
          <w:sz w:val="24"/>
          <w:szCs w:val="24"/>
        </w:rPr>
        <w:t xml:space="preserve">secondary prevention </w:t>
      </w:r>
      <w:r w:rsidRPr="00DC134A">
        <w:rPr>
          <w:rFonts w:ascii="Times New Roman" w:hAnsi="Times New Roman"/>
          <w:sz w:val="24"/>
          <w:szCs w:val="24"/>
        </w:rPr>
        <w:t xml:space="preserve">agents </w:t>
      </w:r>
      <w:r>
        <w:rPr>
          <w:rFonts w:ascii="Times New Roman" w:hAnsi="Times New Roman"/>
          <w:sz w:val="24"/>
          <w:szCs w:val="24"/>
        </w:rPr>
        <w:t>like</w:t>
      </w:r>
      <w:r w:rsidRPr="00DC134A">
        <w:rPr>
          <w:rFonts w:ascii="Times New Roman" w:hAnsi="Times New Roman"/>
          <w:sz w:val="24"/>
          <w:szCs w:val="24"/>
        </w:rPr>
        <w:t xml:space="preserve"> statins and angiotensin-converting enzyme inhibitors/angiotensin receptor antagonists (ACEi/ARB)</w:t>
      </w:r>
      <w:r>
        <w:rPr>
          <w:rFonts w:ascii="Times New Roman" w:hAnsi="Times New Roman"/>
          <w:sz w:val="24"/>
          <w:szCs w:val="24"/>
        </w:rPr>
        <w:t>.</w:t>
      </w:r>
      <w:r w:rsidRPr="00FD7743">
        <w:rPr>
          <w:rFonts w:ascii="Times New Roman" w:hAnsi="Times New Roman"/>
          <w:noProof/>
          <w:sz w:val="24"/>
          <w:szCs w:val="24"/>
          <w:vertAlign w:val="superscript"/>
        </w:rPr>
        <w:t xml:space="preserve"> 21</w:t>
      </w:r>
    </w:p>
    <w:p w:rsidR="009641A1" w:rsidRDefault="009641A1" w:rsidP="006C60E5">
      <w:pPr>
        <w:wordWrap/>
        <w:spacing w:line="480" w:lineRule="auto"/>
        <w:ind w:firstLine="195"/>
        <w:rPr>
          <w:rFonts w:ascii="Times New Roman" w:hAnsi="Times New Roman"/>
          <w:sz w:val="24"/>
          <w:szCs w:val="24"/>
        </w:rPr>
      </w:pPr>
      <w:r w:rsidRPr="00DC134A">
        <w:rPr>
          <w:rFonts w:ascii="Times New Roman" w:hAnsi="Times New Roman"/>
          <w:sz w:val="24"/>
          <w:szCs w:val="24"/>
        </w:rPr>
        <w:t xml:space="preserve">With the publication of several large clinical trials and changes in diabetes guidelines, considerable changes in prescription patterns and utilization of SGLT2i and GLP1RA </w:t>
      </w:r>
      <w:r>
        <w:rPr>
          <w:rFonts w:ascii="Times New Roman" w:hAnsi="Times New Roman"/>
          <w:sz w:val="24"/>
          <w:szCs w:val="24"/>
        </w:rPr>
        <w:t>for</w:t>
      </w:r>
      <w:r w:rsidRPr="00DC134A">
        <w:rPr>
          <w:rFonts w:ascii="Times New Roman" w:hAnsi="Times New Roman"/>
          <w:sz w:val="24"/>
          <w:szCs w:val="24"/>
        </w:rPr>
        <w:t xml:space="preserve"> patients with T2DM and ASCVD </w:t>
      </w:r>
      <w:r>
        <w:rPr>
          <w:rFonts w:ascii="Times New Roman" w:hAnsi="Times New Roman"/>
          <w:sz w:val="24"/>
          <w:szCs w:val="24"/>
        </w:rPr>
        <w:t xml:space="preserve">were expected </w:t>
      </w:r>
      <w:r w:rsidRPr="00DC134A">
        <w:rPr>
          <w:rFonts w:ascii="Times New Roman" w:hAnsi="Times New Roman"/>
          <w:sz w:val="24"/>
          <w:szCs w:val="24"/>
        </w:rPr>
        <w:t>in South Korea. However, only a few studies have been conducted on this topic in South Korea</w:t>
      </w:r>
      <w:r>
        <w:rPr>
          <w:rFonts w:ascii="Times New Roman" w:hAnsi="Times New Roman"/>
          <w:sz w:val="24"/>
          <w:szCs w:val="24"/>
        </w:rPr>
        <w:t>.</w:t>
      </w:r>
      <w:r w:rsidRPr="00FD7743">
        <w:rPr>
          <w:rFonts w:ascii="Times New Roman" w:hAnsi="Times New Roman"/>
          <w:noProof/>
          <w:sz w:val="24"/>
          <w:szCs w:val="24"/>
          <w:vertAlign w:val="superscript"/>
        </w:rPr>
        <w:t xml:space="preserve"> 26</w:t>
      </w:r>
      <w:r w:rsidRPr="00DC134A">
        <w:rPr>
          <w:rFonts w:ascii="Times New Roman" w:hAnsi="Times New Roman"/>
          <w:sz w:val="24"/>
          <w:szCs w:val="24"/>
        </w:rPr>
        <w:t xml:space="preserve"> Therefore, our study aimed to evaluate the yearly prescription trend for antidiabetic agents, including SGLT2i and GLP1RA, in patients with T2DM and ASCVD. In addition, we compared the characteristics of </w:t>
      </w:r>
      <w:r>
        <w:rPr>
          <w:rFonts w:ascii="Times New Roman" w:hAnsi="Times New Roman"/>
          <w:sz w:val="24"/>
          <w:szCs w:val="24"/>
        </w:rPr>
        <w:t xml:space="preserve">patients who received these medications with those who did not and </w:t>
      </w:r>
      <w:r w:rsidRPr="00DC134A">
        <w:rPr>
          <w:rFonts w:ascii="Times New Roman" w:hAnsi="Times New Roman"/>
          <w:sz w:val="24"/>
          <w:szCs w:val="24"/>
        </w:rPr>
        <w:t xml:space="preserve">examined the factors </w:t>
      </w:r>
      <w:r>
        <w:rPr>
          <w:rFonts w:ascii="Times New Roman" w:hAnsi="Times New Roman"/>
          <w:sz w:val="24"/>
          <w:szCs w:val="24"/>
        </w:rPr>
        <w:t>influencing their use.</w:t>
      </w:r>
    </w:p>
    <w:p w:rsidR="009641A1" w:rsidRPr="00DC134A" w:rsidRDefault="009641A1" w:rsidP="006C60E5">
      <w:pPr>
        <w:wordWrap/>
        <w:spacing w:line="480" w:lineRule="auto"/>
        <w:ind w:firstLine="195"/>
        <w:rPr>
          <w:rFonts w:ascii="Times New Roman" w:hAnsi="Times New Roman"/>
          <w:sz w:val="24"/>
          <w:szCs w:val="24"/>
        </w:rPr>
      </w:pPr>
    </w:p>
    <w:p w:rsidR="009641A1" w:rsidRPr="00DC134A" w:rsidRDefault="009641A1" w:rsidP="00966492">
      <w:pPr>
        <w:widowControl/>
        <w:wordWrap/>
        <w:autoSpaceDE/>
        <w:autoSpaceDN/>
        <w:spacing w:line="480" w:lineRule="auto"/>
        <w:jc w:val="left"/>
        <w:rPr>
          <w:rFonts w:ascii="Times New Roman" w:hAnsi="Times New Roman"/>
          <w:b/>
          <w:sz w:val="28"/>
        </w:rPr>
      </w:pPr>
      <w:r w:rsidRPr="00DC134A">
        <w:rPr>
          <w:rFonts w:ascii="Times New Roman" w:hAnsi="Times New Roman"/>
          <w:b/>
          <w:sz w:val="28"/>
        </w:rPr>
        <w:t>Methods</w:t>
      </w:r>
    </w:p>
    <w:p w:rsidR="009641A1" w:rsidRPr="00DC134A" w:rsidRDefault="009641A1" w:rsidP="00DC134A">
      <w:pPr>
        <w:wordWrap/>
        <w:spacing w:line="480" w:lineRule="auto"/>
        <w:ind w:firstLineChars="100" w:firstLine="240"/>
        <w:rPr>
          <w:rFonts w:ascii="Times New Roman" w:hAnsi="Times New Roman"/>
          <w:b/>
          <w:i/>
          <w:sz w:val="24"/>
          <w:szCs w:val="24"/>
        </w:rPr>
      </w:pPr>
      <w:r w:rsidRPr="00DC134A">
        <w:rPr>
          <w:rFonts w:ascii="Times New Roman" w:hAnsi="Times New Roman"/>
          <w:b/>
          <w:i/>
          <w:sz w:val="24"/>
          <w:szCs w:val="24"/>
        </w:rPr>
        <w:t>Data Sources</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We conducted a retrospective cross-sectional study from 2015 to 2020 using National Patient Sample data collected by the Korean Health Insurance Review and Assessment Service (HIRA-</w:t>
      </w:r>
      <w:r w:rsidRPr="00DC134A">
        <w:rPr>
          <w:rFonts w:ascii="Times New Roman" w:hAnsi="Times New Roman"/>
          <w:sz w:val="24"/>
          <w:szCs w:val="24"/>
        </w:rPr>
        <w:lastRenderedPageBreak/>
        <w:t>NPS). HIRA-NPS represent</w:t>
      </w:r>
      <w:r>
        <w:rPr>
          <w:rFonts w:ascii="Times New Roman" w:hAnsi="Times New Roman"/>
          <w:sz w:val="24"/>
          <w:szCs w:val="24"/>
        </w:rPr>
        <w:t>s</w:t>
      </w:r>
      <w:r w:rsidRPr="00DC134A">
        <w:rPr>
          <w:rFonts w:ascii="Times New Roman" w:hAnsi="Times New Roman"/>
          <w:sz w:val="24"/>
          <w:szCs w:val="24"/>
        </w:rPr>
        <w:t xml:space="preserve"> 2</w:t>
      </w:r>
      <w:r>
        <w:rPr>
          <w:rFonts w:ascii="Times New Roman" w:hAnsi="Times New Roman"/>
          <w:sz w:val="24"/>
          <w:szCs w:val="24"/>
        </w:rPr>
        <w:t>–</w:t>
      </w:r>
      <w:r w:rsidRPr="00DC134A">
        <w:rPr>
          <w:rFonts w:ascii="Times New Roman" w:hAnsi="Times New Roman"/>
          <w:sz w:val="24"/>
          <w:szCs w:val="24"/>
        </w:rPr>
        <w:t>3 % of claims data of the Korean population, with the proportion being 3</w:t>
      </w:r>
      <w:r>
        <w:rPr>
          <w:rFonts w:ascii="Times New Roman" w:hAnsi="Times New Roman"/>
          <w:sz w:val="24"/>
          <w:szCs w:val="24"/>
        </w:rPr>
        <w:t xml:space="preserve"> </w:t>
      </w:r>
      <w:r w:rsidRPr="00DC134A">
        <w:rPr>
          <w:rFonts w:ascii="Times New Roman" w:hAnsi="Times New Roman"/>
          <w:sz w:val="24"/>
          <w:szCs w:val="24"/>
        </w:rPr>
        <w:t xml:space="preserve">% prior to 2019. Because HIRA-NPS data are newly extracted </w:t>
      </w:r>
      <w:r>
        <w:rPr>
          <w:rFonts w:ascii="Times New Roman" w:hAnsi="Times New Roman"/>
          <w:sz w:val="24"/>
          <w:szCs w:val="24"/>
        </w:rPr>
        <w:t>every year</w:t>
      </w:r>
      <w:r w:rsidRPr="00DC134A">
        <w:rPr>
          <w:rFonts w:ascii="Times New Roman" w:hAnsi="Times New Roman"/>
          <w:sz w:val="24"/>
          <w:szCs w:val="24"/>
        </w:rPr>
        <w:t xml:space="preserve">, they do not contain continuous data across years.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The Korean health insurance system </w:t>
      </w:r>
      <w:r>
        <w:rPr>
          <w:rFonts w:ascii="Times New Roman" w:hAnsi="Times New Roman"/>
          <w:sz w:val="24"/>
          <w:szCs w:val="24"/>
        </w:rPr>
        <w:t>is</w:t>
      </w:r>
      <w:r w:rsidRPr="00DC134A">
        <w:rPr>
          <w:rFonts w:ascii="Times New Roman" w:hAnsi="Times New Roman"/>
          <w:sz w:val="24"/>
          <w:szCs w:val="24"/>
        </w:rPr>
        <w:t xml:space="preserve"> categorized into three groups: National Health Insurance (NHI), Medical Aid (MedAid), and Patriots and Veterans Insurance (PVI). The </w:t>
      </w:r>
      <w:r>
        <w:rPr>
          <w:rFonts w:ascii="Times New Roman" w:hAnsi="Times New Roman"/>
          <w:sz w:val="24"/>
          <w:szCs w:val="24"/>
        </w:rPr>
        <w:t xml:space="preserve">majority </w:t>
      </w:r>
      <w:r w:rsidRPr="00DC134A">
        <w:rPr>
          <w:rFonts w:ascii="Times New Roman" w:hAnsi="Times New Roman"/>
          <w:sz w:val="24"/>
          <w:szCs w:val="24"/>
        </w:rPr>
        <w:t xml:space="preserve">of the Korean population are covered by NHI </w:t>
      </w:r>
      <w:r>
        <w:rPr>
          <w:rFonts w:ascii="Times New Roman" w:hAnsi="Times New Roman"/>
          <w:sz w:val="24"/>
          <w:szCs w:val="24"/>
        </w:rPr>
        <w:t xml:space="preserve">(97.2 %) </w:t>
      </w:r>
      <w:r w:rsidRPr="00DC134A">
        <w:rPr>
          <w:rFonts w:ascii="Times New Roman" w:hAnsi="Times New Roman"/>
          <w:sz w:val="24"/>
          <w:szCs w:val="24"/>
        </w:rPr>
        <w:t xml:space="preserve">and </w:t>
      </w:r>
      <w:r>
        <w:rPr>
          <w:rFonts w:ascii="Times New Roman" w:hAnsi="Times New Roman"/>
          <w:sz w:val="24"/>
          <w:szCs w:val="24"/>
        </w:rPr>
        <w:t xml:space="preserve">the </w:t>
      </w:r>
      <w:r w:rsidRPr="00DC134A">
        <w:rPr>
          <w:rFonts w:ascii="Times New Roman" w:hAnsi="Times New Roman"/>
          <w:sz w:val="24"/>
          <w:szCs w:val="24"/>
        </w:rPr>
        <w:t xml:space="preserve">remaining 3 % are </w:t>
      </w:r>
      <w:r>
        <w:rPr>
          <w:rFonts w:ascii="Times New Roman" w:hAnsi="Times New Roman"/>
          <w:sz w:val="24"/>
          <w:szCs w:val="24"/>
        </w:rPr>
        <w:t>covered by</w:t>
      </w:r>
      <w:r w:rsidRPr="00DC134A">
        <w:rPr>
          <w:rFonts w:ascii="Times New Roman" w:hAnsi="Times New Roman"/>
          <w:sz w:val="24"/>
          <w:szCs w:val="24"/>
        </w:rPr>
        <w:t xml:space="preserve"> MedAid or PVI</w:t>
      </w:r>
      <w:r>
        <w:rPr>
          <w:rFonts w:ascii="Times New Roman" w:hAnsi="Times New Roman"/>
          <w:sz w:val="24"/>
          <w:szCs w:val="24"/>
        </w:rPr>
        <w:t>.</w:t>
      </w:r>
      <w:r w:rsidRPr="00FD7743">
        <w:rPr>
          <w:rFonts w:ascii="Times New Roman" w:hAnsi="Times New Roman"/>
          <w:noProof/>
          <w:sz w:val="24"/>
          <w:szCs w:val="24"/>
          <w:vertAlign w:val="superscript"/>
        </w:rPr>
        <w:t xml:space="preserve"> 27</w:t>
      </w:r>
    </w:p>
    <w:p w:rsidR="009641A1" w:rsidRPr="00DC134A" w:rsidRDefault="009641A1" w:rsidP="00DC134A">
      <w:pPr>
        <w:wordWrap/>
        <w:spacing w:line="480" w:lineRule="auto"/>
        <w:ind w:firstLineChars="100" w:firstLine="240"/>
        <w:rPr>
          <w:rFonts w:ascii="Times New Roman" w:hAnsi="Times New Roman"/>
          <w:b/>
          <w:i/>
          <w:sz w:val="24"/>
          <w:szCs w:val="24"/>
        </w:rPr>
      </w:pPr>
      <w:r w:rsidRPr="00DC134A">
        <w:rPr>
          <w:rFonts w:ascii="Times New Roman" w:hAnsi="Times New Roman"/>
          <w:b/>
          <w:i/>
          <w:sz w:val="24"/>
          <w:szCs w:val="24"/>
        </w:rPr>
        <w:t>Study Population</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Our study extracted </w:t>
      </w:r>
      <w:r>
        <w:rPr>
          <w:rFonts w:ascii="Times New Roman" w:hAnsi="Times New Roman"/>
          <w:sz w:val="24"/>
          <w:szCs w:val="24"/>
        </w:rPr>
        <w:t xml:space="preserve">data on </w:t>
      </w:r>
      <w:r w:rsidRPr="00DC134A">
        <w:rPr>
          <w:rFonts w:ascii="Times New Roman" w:hAnsi="Times New Roman"/>
          <w:sz w:val="24"/>
          <w:szCs w:val="24"/>
        </w:rPr>
        <w:t xml:space="preserve">adult patients aged ≥ 20 years with </w:t>
      </w:r>
      <w:r>
        <w:rPr>
          <w:rFonts w:ascii="Times New Roman" w:hAnsi="Times New Roman"/>
          <w:sz w:val="24"/>
          <w:szCs w:val="24"/>
        </w:rPr>
        <w:t>concurrent</w:t>
      </w:r>
      <w:r w:rsidRPr="00DC134A">
        <w:rPr>
          <w:rFonts w:ascii="Times New Roman" w:hAnsi="Times New Roman"/>
          <w:sz w:val="24"/>
          <w:szCs w:val="24"/>
        </w:rPr>
        <w:t xml:space="preserve"> T2DM and ASCVD confirmed between March 1 and October 31 </w:t>
      </w:r>
      <w:r>
        <w:rPr>
          <w:rFonts w:ascii="Times New Roman" w:hAnsi="Times New Roman"/>
          <w:sz w:val="24"/>
          <w:szCs w:val="24"/>
        </w:rPr>
        <w:t xml:space="preserve">each year </w:t>
      </w:r>
      <w:r w:rsidRPr="00DC134A">
        <w:rPr>
          <w:rFonts w:ascii="Times New Roman" w:hAnsi="Times New Roman"/>
          <w:sz w:val="24"/>
          <w:szCs w:val="24"/>
        </w:rPr>
        <w:t xml:space="preserve">who were also prescribed at least </w:t>
      </w:r>
      <w:r>
        <w:rPr>
          <w:rFonts w:ascii="Times New Roman" w:hAnsi="Times New Roman"/>
          <w:sz w:val="24"/>
          <w:szCs w:val="24"/>
        </w:rPr>
        <w:t>one</w:t>
      </w:r>
      <w:r w:rsidRPr="00DC134A">
        <w:rPr>
          <w:rFonts w:ascii="Times New Roman" w:hAnsi="Times New Roman"/>
          <w:sz w:val="24"/>
          <w:szCs w:val="24"/>
        </w:rPr>
        <w:t xml:space="preserve"> antidiabetic agent.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Initially, patients with T2DM were identified using the Korean Classification of Disease 7</w:t>
      </w:r>
      <w:r w:rsidRPr="00DC134A">
        <w:rPr>
          <w:rFonts w:ascii="Times New Roman" w:hAnsi="Times New Roman"/>
          <w:sz w:val="24"/>
          <w:szCs w:val="24"/>
          <w:vertAlign w:val="superscript"/>
        </w:rPr>
        <w:t>th</w:t>
      </w:r>
      <w:r w:rsidRPr="00DC134A">
        <w:rPr>
          <w:rFonts w:ascii="Times New Roman" w:hAnsi="Times New Roman"/>
          <w:sz w:val="24"/>
          <w:szCs w:val="24"/>
        </w:rPr>
        <w:t xml:space="preserve"> edition (KCD-7) code E11, either as the main diagnosis or a sub-diagnosis. Patients aged &lt; 20 years were excluded from the study. The presence of ASCVD was determined using both KCD-7 and procedure codes. ASCVD was defined in accordance with the guidelines of the American College of Cardiology and American Heart Association (ACC/AHA) 2013, encompassing ischemic heart diseases, such as myocardial infarction and angina, peripheral artery diseases, ischemic stroke, transient ischemic attack (TIA), and arterial revascularization procedures, including coronary interventions</w:t>
      </w:r>
      <w:r>
        <w:rPr>
          <w:rFonts w:ascii="Times New Roman" w:hAnsi="Times New Roman"/>
          <w:sz w:val="24"/>
          <w:szCs w:val="24"/>
        </w:rPr>
        <w:t>.</w:t>
      </w:r>
      <w:r w:rsidRPr="00FD7743">
        <w:rPr>
          <w:rFonts w:ascii="Times New Roman" w:hAnsi="Times New Roman"/>
          <w:noProof/>
          <w:sz w:val="24"/>
          <w:szCs w:val="24"/>
          <w:vertAlign w:val="superscript"/>
        </w:rPr>
        <w:t xml:space="preserve"> 28</w:t>
      </w:r>
      <w:r w:rsidRPr="00DC134A">
        <w:rPr>
          <w:rFonts w:ascii="Times New Roman" w:hAnsi="Times New Roman"/>
          <w:sz w:val="24"/>
          <w:szCs w:val="24"/>
        </w:rPr>
        <w:t xml:space="preserve"> We evaluated all prescriptions within 60 days of the index date (the date when </w:t>
      </w:r>
      <w:r>
        <w:rPr>
          <w:rFonts w:ascii="Times New Roman" w:hAnsi="Times New Roman"/>
          <w:sz w:val="24"/>
          <w:szCs w:val="24"/>
        </w:rPr>
        <w:t>concurrent</w:t>
      </w:r>
      <w:r w:rsidRPr="00DC134A">
        <w:rPr>
          <w:rFonts w:ascii="Times New Roman" w:hAnsi="Times New Roman"/>
          <w:sz w:val="24"/>
          <w:szCs w:val="24"/>
        </w:rPr>
        <w:t xml:space="preserve"> T2DM and ASCVD </w:t>
      </w:r>
      <w:r>
        <w:rPr>
          <w:rFonts w:ascii="Times New Roman" w:hAnsi="Times New Roman"/>
          <w:sz w:val="24"/>
          <w:szCs w:val="24"/>
        </w:rPr>
        <w:t>were</w:t>
      </w:r>
      <w:r w:rsidRPr="00DC134A">
        <w:rPr>
          <w:rFonts w:ascii="Times New Roman" w:hAnsi="Times New Roman"/>
          <w:sz w:val="24"/>
          <w:szCs w:val="24"/>
        </w:rPr>
        <w:t xml:space="preserve"> initially identified), and included </w:t>
      </w:r>
      <w:r>
        <w:rPr>
          <w:rFonts w:ascii="Times New Roman" w:hAnsi="Times New Roman"/>
          <w:sz w:val="24"/>
          <w:szCs w:val="24"/>
        </w:rPr>
        <w:t>patients</w:t>
      </w:r>
      <w:r w:rsidRPr="00DC134A">
        <w:rPr>
          <w:rFonts w:ascii="Times New Roman" w:hAnsi="Times New Roman"/>
          <w:sz w:val="24"/>
          <w:szCs w:val="24"/>
        </w:rPr>
        <w:t xml:space="preserve"> who </w:t>
      </w:r>
      <w:r>
        <w:rPr>
          <w:rFonts w:ascii="Times New Roman" w:hAnsi="Times New Roman"/>
          <w:sz w:val="24"/>
          <w:szCs w:val="24"/>
        </w:rPr>
        <w:t>were</w:t>
      </w:r>
      <w:r w:rsidRPr="00DC134A">
        <w:rPr>
          <w:rFonts w:ascii="Times New Roman" w:hAnsi="Times New Roman"/>
          <w:sz w:val="24"/>
          <w:szCs w:val="24"/>
        </w:rPr>
        <w:t xml:space="preserve"> prescribed at least one antidiabetic agent as the final study population.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We collected demographic information </w:t>
      </w:r>
      <w:r>
        <w:rPr>
          <w:rFonts w:ascii="Times New Roman" w:hAnsi="Times New Roman"/>
          <w:sz w:val="24"/>
          <w:szCs w:val="24"/>
        </w:rPr>
        <w:t>for</w:t>
      </w:r>
      <w:r w:rsidRPr="00DC134A">
        <w:rPr>
          <w:rFonts w:ascii="Times New Roman" w:hAnsi="Times New Roman"/>
          <w:sz w:val="24"/>
          <w:szCs w:val="24"/>
        </w:rPr>
        <w:t xml:space="preserve"> the study population, including age, sex, </w:t>
      </w:r>
      <w:r w:rsidRPr="00DC134A">
        <w:rPr>
          <w:rFonts w:ascii="Times New Roman" w:hAnsi="Times New Roman"/>
          <w:sz w:val="24"/>
          <w:szCs w:val="24"/>
        </w:rPr>
        <w:lastRenderedPageBreak/>
        <w:t xml:space="preserve">insurance type, region, type of medical institution, and physician’s specialty. Ages were stratified into 5 categories: 20–39, 40–49, 50–59, 60–69, and ≥70 years. Insurance types were divided into the NHI and MedAid/PVI groups. Medical institutions were grouped into </w:t>
      </w:r>
      <w:r>
        <w:rPr>
          <w:rFonts w:ascii="Times New Roman" w:hAnsi="Times New Roman"/>
          <w:sz w:val="24"/>
          <w:szCs w:val="24"/>
        </w:rPr>
        <w:t xml:space="preserve">five </w:t>
      </w:r>
      <w:r w:rsidRPr="00DC134A">
        <w:rPr>
          <w:rFonts w:ascii="Times New Roman" w:hAnsi="Times New Roman"/>
          <w:sz w:val="24"/>
          <w:szCs w:val="24"/>
        </w:rPr>
        <w:t>categories: tertiary hospitals, general hospitals, hospitals, clinics, and others. Regions were classified into three groups: capital cit</w:t>
      </w:r>
      <w:r>
        <w:rPr>
          <w:rFonts w:ascii="Times New Roman" w:hAnsi="Times New Roman"/>
          <w:sz w:val="24"/>
          <w:szCs w:val="24"/>
        </w:rPr>
        <w:t>y</w:t>
      </w:r>
      <w:r w:rsidRPr="00DC134A">
        <w:rPr>
          <w:rFonts w:ascii="Times New Roman" w:hAnsi="Times New Roman"/>
          <w:sz w:val="24"/>
          <w:szCs w:val="24"/>
        </w:rPr>
        <w:t xml:space="preserve">, metropolitan cities, and others. Physician specialties were categorized into five groups: cardiologists, endocrinologists, nephrologists, other internists (internists specializing in </w:t>
      </w:r>
      <w:r>
        <w:rPr>
          <w:rFonts w:ascii="Times New Roman" w:hAnsi="Times New Roman"/>
          <w:sz w:val="24"/>
          <w:szCs w:val="24"/>
        </w:rPr>
        <w:t xml:space="preserve">neither </w:t>
      </w:r>
      <w:r w:rsidRPr="00DC134A">
        <w:rPr>
          <w:rFonts w:ascii="Times New Roman" w:hAnsi="Times New Roman"/>
          <w:sz w:val="24"/>
          <w:szCs w:val="24"/>
        </w:rPr>
        <w:t xml:space="preserve">cardiology, endocrinology, </w:t>
      </w:r>
      <w:r>
        <w:rPr>
          <w:rFonts w:ascii="Times New Roman" w:hAnsi="Times New Roman"/>
          <w:sz w:val="24"/>
          <w:szCs w:val="24"/>
        </w:rPr>
        <w:t>nor</w:t>
      </w:r>
      <w:r w:rsidRPr="00DC134A">
        <w:rPr>
          <w:rFonts w:ascii="Times New Roman" w:hAnsi="Times New Roman"/>
          <w:sz w:val="24"/>
          <w:szCs w:val="24"/>
        </w:rPr>
        <w:t xml:space="preserve"> nephrology), and other physicians.  </w:t>
      </w:r>
    </w:p>
    <w:p w:rsidR="009641A1" w:rsidRPr="00DC134A" w:rsidRDefault="009641A1" w:rsidP="00DC134A">
      <w:pPr>
        <w:wordWrap/>
        <w:spacing w:line="480" w:lineRule="auto"/>
        <w:ind w:firstLineChars="100" w:firstLine="240"/>
        <w:rPr>
          <w:rFonts w:ascii="Times New Roman" w:hAnsi="Times New Roman"/>
          <w:sz w:val="24"/>
          <w:szCs w:val="24"/>
        </w:rPr>
      </w:pPr>
      <w:r>
        <w:rPr>
          <w:rFonts w:ascii="Times New Roman" w:hAnsi="Times New Roman"/>
          <w:sz w:val="24"/>
          <w:szCs w:val="24"/>
        </w:rPr>
        <w:t>Patients’</w:t>
      </w:r>
      <w:r w:rsidRPr="00DC134A">
        <w:rPr>
          <w:rFonts w:ascii="Times New Roman" w:hAnsi="Times New Roman"/>
          <w:sz w:val="24"/>
          <w:szCs w:val="24"/>
        </w:rPr>
        <w:t xml:space="preserve"> </w:t>
      </w:r>
      <w:r>
        <w:rPr>
          <w:rFonts w:ascii="Times New Roman" w:hAnsi="Times New Roman"/>
          <w:sz w:val="24"/>
          <w:szCs w:val="24"/>
        </w:rPr>
        <w:t>c</w:t>
      </w:r>
      <w:r w:rsidRPr="00DC134A">
        <w:rPr>
          <w:rFonts w:ascii="Times New Roman" w:hAnsi="Times New Roman"/>
          <w:sz w:val="24"/>
          <w:szCs w:val="24"/>
        </w:rPr>
        <w:t xml:space="preserve">omorbidities were identified based on the </w:t>
      </w:r>
      <w:r>
        <w:rPr>
          <w:rFonts w:ascii="Times New Roman" w:hAnsi="Times New Roman"/>
          <w:sz w:val="24"/>
          <w:szCs w:val="24"/>
        </w:rPr>
        <w:t>identification</w:t>
      </w:r>
      <w:r w:rsidRPr="00DC134A">
        <w:rPr>
          <w:rFonts w:ascii="Times New Roman" w:hAnsi="Times New Roman"/>
          <w:sz w:val="24"/>
          <w:szCs w:val="24"/>
        </w:rPr>
        <w:t xml:space="preserve"> of KCD-7 codes for additional diagnoses within 60 days </w:t>
      </w:r>
      <w:r>
        <w:rPr>
          <w:rFonts w:ascii="Times New Roman" w:hAnsi="Times New Roman"/>
          <w:sz w:val="24"/>
          <w:szCs w:val="24"/>
        </w:rPr>
        <w:t>preceding</w:t>
      </w:r>
      <w:r w:rsidRPr="00DC134A">
        <w:rPr>
          <w:rFonts w:ascii="Times New Roman" w:hAnsi="Times New Roman"/>
          <w:sz w:val="24"/>
          <w:szCs w:val="24"/>
        </w:rPr>
        <w:t xml:space="preserve"> </w:t>
      </w:r>
      <w:r>
        <w:rPr>
          <w:rFonts w:ascii="Times New Roman" w:hAnsi="Times New Roman"/>
          <w:sz w:val="24"/>
          <w:szCs w:val="24"/>
        </w:rPr>
        <w:t xml:space="preserve">the </w:t>
      </w:r>
      <w:r w:rsidRPr="00DC134A">
        <w:rPr>
          <w:rFonts w:ascii="Times New Roman" w:hAnsi="Times New Roman"/>
          <w:sz w:val="24"/>
          <w:szCs w:val="24"/>
        </w:rPr>
        <w:t xml:space="preserve">index date. The use of other cardioprotective agents was determined based on prescriptions for statins or ACEi/ARB. </w:t>
      </w:r>
    </w:p>
    <w:p w:rsidR="009641A1" w:rsidRPr="00DC134A" w:rsidRDefault="009641A1" w:rsidP="00DC134A">
      <w:pPr>
        <w:wordWrap/>
        <w:spacing w:line="480" w:lineRule="auto"/>
        <w:ind w:firstLineChars="100" w:firstLine="240"/>
        <w:rPr>
          <w:rFonts w:ascii="Times New Roman" w:hAnsi="Times New Roman"/>
          <w:b/>
          <w:i/>
          <w:sz w:val="24"/>
          <w:szCs w:val="24"/>
        </w:rPr>
      </w:pPr>
      <w:r w:rsidRPr="00DC134A">
        <w:rPr>
          <w:rFonts w:ascii="Times New Roman" w:hAnsi="Times New Roman"/>
          <w:b/>
          <w:i/>
          <w:sz w:val="24"/>
          <w:szCs w:val="24"/>
        </w:rPr>
        <w:t xml:space="preserve">Outcome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The outcome of our study was the utilization of SGLT2i or GLP1RA after the identification of </w:t>
      </w:r>
      <w:r>
        <w:rPr>
          <w:rFonts w:ascii="Times New Roman" w:hAnsi="Times New Roman"/>
          <w:sz w:val="24"/>
          <w:szCs w:val="24"/>
        </w:rPr>
        <w:t>concurrent</w:t>
      </w:r>
      <w:r w:rsidRPr="00DC134A">
        <w:rPr>
          <w:rFonts w:ascii="Times New Roman" w:hAnsi="Times New Roman"/>
          <w:sz w:val="24"/>
          <w:szCs w:val="24"/>
        </w:rPr>
        <w:t xml:space="preserve"> T2DM and ASCVD. Patients prescribed any of the following medications were considered SGLT2i users: dapagliflozin, empagliflozin, ipragliflozin, or ertugliflozin. Patients prescribed the following medications were classified as GLP1RA users: dulaglutide, exenatide, lixisenatide, </w:t>
      </w:r>
      <w:r>
        <w:rPr>
          <w:rFonts w:ascii="Times New Roman" w:hAnsi="Times New Roman"/>
          <w:sz w:val="24"/>
          <w:szCs w:val="24"/>
        </w:rPr>
        <w:t>or</w:t>
      </w:r>
      <w:r w:rsidRPr="00DC134A">
        <w:rPr>
          <w:rFonts w:ascii="Times New Roman" w:hAnsi="Times New Roman"/>
          <w:sz w:val="24"/>
          <w:szCs w:val="24"/>
        </w:rPr>
        <w:t xml:space="preserve"> albiglutide. We identified factors influencing the prescription of these agents. Furthermore, we analyzed trends in the utilization of specific medication ingredients within the SGLT2i class. In cases where patients switched SGLT2i medications more than once within 60 days of the index date, the utilization rate of each medication was determined based on the initial SGLT2i prescription.  </w:t>
      </w:r>
    </w:p>
    <w:p w:rsidR="009641A1" w:rsidRPr="00DC134A" w:rsidRDefault="009641A1" w:rsidP="00DC134A">
      <w:pPr>
        <w:wordWrap/>
        <w:spacing w:line="480" w:lineRule="auto"/>
        <w:ind w:firstLineChars="100" w:firstLine="240"/>
        <w:rPr>
          <w:rFonts w:ascii="Times New Roman" w:hAnsi="Times New Roman"/>
          <w:b/>
          <w:i/>
          <w:sz w:val="24"/>
          <w:szCs w:val="24"/>
        </w:rPr>
      </w:pPr>
      <w:r w:rsidRPr="00DC134A">
        <w:rPr>
          <w:rFonts w:ascii="Times New Roman" w:hAnsi="Times New Roman"/>
          <w:b/>
          <w:i/>
          <w:sz w:val="24"/>
          <w:szCs w:val="24"/>
        </w:rPr>
        <w:t>Statistical analysis</w:t>
      </w:r>
    </w:p>
    <w:p w:rsidR="009641A1" w:rsidRPr="00DC134A" w:rsidRDefault="009641A1" w:rsidP="005B40D0">
      <w:pPr>
        <w:wordWrap/>
        <w:spacing w:line="480" w:lineRule="auto"/>
        <w:ind w:firstLine="195"/>
        <w:rPr>
          <w:rFonts w:ascii="Times New Roman" w:hAnsi="Times New Roman"/>
          <w:sz w:val="24"/>
          <w:szCs w:val="24"/>
        </w:rPr>
      </w:pPr>
      <w:r w:rsidRPr="00DC134A">
        <w:rPr>
          <w:rFonts w:ascii="Times New Roman" w:hAnsi="Times New Roman"/>
          <w:sz w:val="24"/>
          <w:szCs w:val="24"/>
        </w:rPr>
        <w:lastRenderedPageBreak/>
        <w:t xml:space="preserve">We </w:t>
      </w:r>
      <w:r>
        <w:rPr>
          <w:rFonts w:ascii="Times New Roman" w:hAnsi="Times New Roman"/>
          <w:sz w:val="24"/>
          <w:szCs w:val="24"/>
        </w:rPr>
        <w:t xml:space="preserve">analyzed the characteristics of the study population, comparing those prescribed SGLT2i and GLP1RA with those who were not, using percentages from frequency and the chi-square test for comparison. </w:t>
      </w:r>
      <w:r w:rsidRPr="00DC134A">
        <w:rPr>
          <w:rFonts w:ascii="Times New Roman" w:hAnsi="Times New Roman"/>
          <w:sz w:val="24"/>
          <w:szCs w:val="24"/>
        </w:rPr>
        <w:t xml:space="preserve">Multiple logistic regression analysis was used to assess the factors influencing the </w:t>
      </w:r>
      <w:r>
        <w:rPr>
          <w:rFonts w:ascii="Times New Roman" w:hAnsi="Times New Roman"/>
          <w:sz w:val="24"/>
          <w:szCs w:val="24"/>
        </w:rPr>
        <w:t>use</w:t>
      </w:r>
      <w:r w:rsidRPr="00DC134A">
        <w:rPr>
          <w:rFonts w:ascii="Times New Roman" w:hAnsi="Times New Roman"/>
          <w:sz w:val="24"/>
          <w:szCs w:val="24"/>
        </w:rPr>
        <w:t xml:space="preserve"> of SGLT2i and GLP1RA. Additionally, we used the Cochran</w:t>
      </w:r>
      <w:r>
        <w:rPr>
          <w:rFonts w:ascii="Times New Roman" w:hAnsi="Times New Roman"/>
          <w:sz w:val="24"/>
          <w:szCs w:val="24"/>
        </w:rPr>
        <w:t>–</w:t>
      </w:r>
      <w:r w:rsidRPr="00DC134A">
        <w:rPr>
          <w:rFonts w:ascii="Times New Roman" w:hAnsi="Times New Roman"/>
          <w:sz w:val="24"/>
          <w:szCs w:val="24"/>
        </w:rPr>
        <w:t xml:space="preserve">Armitage trend test to confirm the significance of yearly utilization trends within the class of antidiabetic agents, including SGLT2i and GLP1RA. </w:t>
      </w:r>
    </w:p>
    <w:p w:rsidR="009641A1" w:rsidRDefault="009641A1" w:rsidP="006C60E5">
      <w:pPr>
        <w:wordWrap/>
        <w:spacing w:line="480" w:lineRule="auto"/>
        <w:ind w:firstLine="195"/>
        <w:rPr>
          <w:rFonts w:ascii="Times New Roman" w:hAnsi="Times New Roman"/>
          <w:sz w:val="24"/>
          <w:szCs w:val="24"/>
        </w:rPr>
      </w:pPr>
      <w:r w:rsidRPr="00DC134A">
        <w:rPr>
          <w:rFonts w:ascii="Times New Roman" w:hAnsi="Times New Roman"/>
          <w:sz w:val="24"/>
          <w:szCs w:val="24"/>
        </w:rPr>
        <w:t xml:space="preserve">We performed all analyses using the R Statistical Software (version 3.5.1; R Foundation for Statistical Computing, Vienna, Austria), and the level of significance was set at </w:t>
      </w:r>
      <w:r w:rsidRPr="000B3F0D">
        <w:rPr>
          <w:rFonts w:ascii="Times New Roman" w:hAnsi="Times New Roman"/>
          <w:i/>
          <w:sz w:val="24"/>
          <w:szCs w:val="24"/>
        </w:rPr>
        <w:t>p</w:t>
      </w:r>
      <w:r>
        <w:rPr>
          <w:rFonts w:ascii="Times New Roman" w:hAnsi="Times New Roman"/>
          <w:sz w:val="24"/>
          <w:szCs w:val="24"/>
        </w:rPr>
        <w:t xml:space="preserve"> &lt; 0.05. </w:t>
      </w:r>
    </w:p>
    <w:p w:rsidR="009641A1" w:rsidRDefault="009641A1" w:rsidP="006C60E5">
      <w:pPr>
        <w:wordWrap/>
        <w:spacing w:line="480" w:lineRule="auto"/>
        <w:ind w:firstLine="195"/>
        <w:rPr>
          <w:rFonts w:ascii="Times New Roman" w:hAnsi="Times New Roman"/>
          <w:b/>
          <w:sz w:val="28"/>
        </w:rPr>
      </w:pPr>
    </w:p>
    <w:p w:rsidR="009641A1" w:rsidRPr="00DC134A" w:rsidRDefault="009641A1" w:rsidP="006C60E5">
      <w:pPr>
        <w:wordWrap/>
        <w:spacing w:line="480" w:lineRule="auto"/>
        <w:ind w:firstLine="195"/>
        <w:rPr>
          <w:rFonts w:ascii="Times New Roman" w:hAnsi="Times New Roman"/>
          <w:b/>
          <w:sz w:val="28"/>
        </w:rPr>
      </w:pPr>
      <w:r w:rsidRPr="00DC134A">
        <w:rPr>
          <w:rFonts w:ascii="Times New Roman" w:hAnsi="Times New Roman"/>
          <w:b/>
          <w:sz w:val="28"/>
        </w:rPr>
        <w:t>Results</w:t>
      </w:r>
    </w:p>
    <w:p w:rsidR="009641A1" w:rsidRPr="00DC134A" w:rsidRDefault="009641A1" w:rsidP="00DC134A">
      <w:pPr>
        <w:wordWrap/>
        <w:spacing w:line="480" w:lineRule="auto"/>
        <w:ind w:firstLineChars="100" w:firstLine="240"/>
        <w:rPr>
          <w:rFonts w:ascii="Times New Roman" w:hAnsi="Times New Roman"/>
          <w:b/>
          <w:i/>
          <w:sz w:val="24"/>
          <w:szCs w:val="24"/>
        </w:rPr>
      </w:pPr>
      <w:r w:rsidRPr="00DC134A">
        <w:rPr>
          <w:rFonts w:ascii="Times New Roman" w:hAnsi="Times New Roman"/>
          <w:b/>
          <w:i/>
          <w:sz w:val="24"/>
          <w:szCs w:val="24"/>
        </w:rPr>
        <w:t xml:space="preserve">Characteristic of </w:t>
      </w:r>
      <w:r>
        <w:rPr>
          <w:rFonts w:ascii="Times New Roman" w:hAnsi="Times New Roman"/>
          <w:b/>
          <w:i/>
          <w:sz w:val="24"/>
          <w:szCs w:val="24"/>
        </w:rPr>
        <w:t xml:space="preserve">the </w:t>
      </w:r>
      <w:r w:rsidRPr="00DC134A">
        <w:rPr>
          <w:rFonts w:ascii="Times New Roman" w:hAnsi="Times New Roman"/>
          <w:b/>
          <w:i/>
          <w:sz w:val="24"/>
          <w:szCs w:val="24"/>
        </w:rPr>
        <w:t xml:space="preserve">Study Population </w:t>
      </w:r>
    </w:p>
    <w:p w:rsidR="009641A1" w:rsidRPr="00DC134A" w:rsidRDefault="009641A1" w:rsidP="006C60E5">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Between 2015 and 2020, 57,576 patients with T2DM and ASCVD who were prescribed at least one antidiabetic agent were selected (Fig</w:t>
      </w:r>
      <w:r>
        <w:rPr>
          <w:rFonts w:ascii="Times New Roman" w:hAnsi="Times New Roman"/>
          <w:sz w:val="24"/>
          <w:szCs w:val="24"/>
        </w:rPr>
        <w:t>.</w:t>
      </w:r>
      <w:r w:rsidRPr="00DC134A">
        <w:rPr>
          <w:rFonts w:ascii="Times New Roman" w:hAnsi="Times New Roman"/>
          <w:sz w:val="24"/>
          <w:szCs w:val="24"/>
        </w:rPr>
        <w:t xml:space="preserve"> 1). The utilization of SGLT2i increased </w:t>
      </w:r>
      <w:r>
        <w:rPr>
          <w:rFonts w:ascii="Times New Roman" w:hAnsi="Times New Roman"/>
          <w:sz w:val="24"/>
          <w:szCs w:val="24"/>
        </w:rPr>
        <w:t>more than</w:t>
      </w:r>
      <w:r w:rsidRPr="00DC134A">
        <w:rPr>
          <w:rFonts w:ascii="Times New Roman" w:hAnsi="Times New Roman"/>
          <w:sz w:val="24"/>
          <w:szCs w:val="24"/>
        </w:rPr>
        <w:t xml:space="preserve"> 10-fold during study period, from 1.2 % in 2015 to 10.51 % in 2020 (Fig</w:t>
      </w:r>
      <w:r>
        <w:rPr>
          <w:rFonts w:ascii="Times New Roman" w:hAnsi="Times New Roman"/>
          <w:sz w:val="24"/>
          <w:szCs w:val="24"/>
        </w:rPr>
        <w:t>.</w:t>
      </w:r>
      <w:r w:rsidRPr="00DC134A">
        <w:rPr>
          <w:rFonts w:ascii="Times New Roman" w:hAnsi="Times New Roman"/>
          <w:sz w:val="24"/>
          <w:szCs w:val="24"/>
        </w:rPr>
        <w:t xml:space="preserve"> 2). In contrast, the utilization rate of GLP1RA increased </w:t>
      </w:r>
      <w:r>
        <w:rPr>
          <w:rFonts w:ascii="Times New Roman" w:hAnsi="Times New Roman"/>
          <w:sz w:val="24"/>
          <w:szCs w:val="24"/>
        </w:rPr>
        <w:t>marginally</w:t>
      </w:r>
      <w:r w:rsidRPr="00DC134A">
        <w:rPr>
          <w:rFonts w:ascii="Times New Roman" w:hAnsi="Times New Roman"/>
          <w:sz w:val="24"/>
          <w:szCs w:val="24"/>
        </w:rPr>
        <w:t xml:space="preserve"> from 0 % in 2015 to 1.17 % in 2020. By 2020, the proportion of patients treated with either of these agents reached 11.65 %.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In terms of the utilization of oral antidiabetic agents over the years, metformin consistently </w:t>
      </w:r>
      <w:r>
        <w:rPr>
          <w:rFonts w:ascii="Times New Roman" w:hAnsi="Times New Roman"/>
          <w:sz w:val="24"/>
          <w:szCs w:val="24"/>
        </w:rPr>
        <w:t>remained the most used drug</w:t>
      </w:r>
      <w:r w:rsidRPr="00DC134A">
        <w:rPr>
          <w:rFonts w:ascii="Times New Roman" w:hAnsi="Times New Roman"/>
          <w:sz w:val="24"/>
          <w:szCs w:val="24"/>
        </w:rPr>
        <w:t>. From 2015 to 2019, the top four oral antidiabetic agents use</w:t>
      </w:r>
      <w:r>
        <w:rPr>
          <w:rFonts w:ascii="Times New Roman" w:hAnsi="Times New Roman"/>
          <w:sz w:val="24"/>
          <w:szCs w:val="24"/>
        </w:rPr>
        <w:t>d</w:t>
      </w:r>
      <w:r w:rsidRPr="00DC134A">
        <w:rPr>
          <w:rFonts w:ascii="Times New Roman" w:hAnsi="Times New Roman"/>
          <w:sz w:val="24"/>
          <w:szCs w:val="24"/>
        </w:rPr>
        <w:t xml:space="preserve"> remained unchanged: </w:t>
      </w:r>
      <w:r>
        <w:rPr>
          <w:rFonts w:ascii="Times New Roman" w:hAnsi="Times New Roman"/>
          <w:sz w:val="24"/>
          <w:szCs w:val="24"/>
        </w:rPr>
        <w:t>m</w:t>
      </w:r>
      <w:r w:rsidRPr="00DC134A">
        <w:rPr>
          <w:rFonts w:ascii="Times New Roman" w:hAnsi="Times New Roman"/>
          <w:sz w:val="24"/>
          <w:szCs w:val="24"/>
        </w:rPr>
        <w:t xml:space="preserve">etformin &gt; DPP4i &gt; SU &gt; </w:t>
      </w:r>
      <w:r>
        <w:rPr>
          <w:rFonts w:ascii="Times New Roman" w:hAnsi="Times New Roman"/>
          <w:sz w:val="24"/>
          <w:szCs w:val="24"/>
        </w:rPr>
        <w:t>t</w:t>
      </w:r>
      <w:r w:rsidRPr="00DC134A">
        <w:rPr>
          <w:rFonts w:ascii="Times New Roman" w:hAnsi="Times New Roman"/>
          <w:sz w:val="24"/>
          <w:szCs w:val="24"/>
        </w:rPr>
        <w:t>hiazolidinedione</w:t>
      </w:r>
      <w:r>
        <w:rPr>
          <w:rFonts w:ascii="Times New Roman" w:hAnsi="Times New Roman"/>
          <w:sz w:val="24"/>
          <w:szCs w:val="24"/>
        </w:rPr>
        <w:t>s</w:t>
      </w:r>
      <w:r w:rsidRPr="00DC134A">
        <w:rPr>
          <w:rFonts w:ascii="Times New Roman" w:hAnsi="Times New Roman"/>
          <w:sz w:val="24"/>
          <w:szCs w:val="24"/>
        </w:rPr>
        <w:t xml:space="preserve"> (TZD) (Fig</w:t>
      </w:r>
      <w:r>
        <w:rPr>
          <w:rFonts w:ascii="Times New Roman" w:hAnsi="Times New Roman"/>
          <w:sz w:val="24"/>
          <w:szCs w:val="24"/>
        </w:rPr>
        <w:t>.</w:t>
      </w:r>
      <w:r w:rsidRPr="00DC134A">
        <w:rPr>
          <w:rFonts w:ascii="Times New Roman" w:hAnsi="Times New Roman"/>
          <w:sz w:val="24"/>
          <w:szCs w:val="24"/>
        </w:rPr>
        <w:t xml:space="preserve"> S1). However, in 2020, the utilization of SGLT2i (10.51 %) slightly surpassed that of TZD (10.15 %) (Table S1). Among non-cardioprotective antidiabetic agents, the use of DPP4i and TZD exhibited an increasing trend, </w:t>
      </w:r>
      <w:r>
        <w:rPr>
          <w:rFonts w:ascii="Times New Roman" w:hAnsi="Times New Roman"/>
          <w:sz w:val="24"/>
          <w:szCs w:val="24"/>
        </w:rPr>
        <w:t>whereas</w:t>
      </w:r>
      <w:r w:rsidRPr="00DC134A">
        <w:rPr>
          <w:rFonts w:ascii="Times New Roman" w:hAnsi="Times New Roman"/>
          <w:sz w:val="24"/>
          <w:szCs w:val="24"/>
        </w:rPr>
        <w:t xml:space="preserve"> the </w:t>
      </w:r>
      <w:r>
        <w:rPr>
          <w:rFonts w:ascii="Times New Roman" w:hAnsi="Times New Roman"/>
          <w:sz w:val="24"/>
          <w:szCs w:val="24"/>
        </w:rPr>
        <w:t>use</w:t>
      </w:r>
      <w:r w:rsidRPr="00DC134A">
        <w:rPr>
          <w:rFonts w:ascii="Times New Roman" w:hAnsi="Times New Roman"/>
          <w:sz w:val="24"/>
          <w:szCs w:val="24"/>
        </w:rPr>
        <w:t xml:space="preserve"> of SU showed a decreasing trend.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lastRenderedPageBreak/>
        <w:t>The overall utilization rate of SGLT2i was 5.84 % (n</w:t>
      </w:r>
      <w:r>
        <w:rPr>
          <w:rFonts w:ascii="Times New Roman" w:hAnsi="Times New Roman"/>
          <w:sz w:val="24"/>
          <w:szCs w:val="24"/>
        </w:rPr>
        <w:t xml:space="preserve"> </w:t>
      </w:r>
      <w:r w:rsidRPr="00DC134A">
        <w:rPr>
          <w:rFonts w:ascii="Times New Roman" w:hAnsi="Times New Roman"/>
          <w:sz w:val="24"/>
          <w:szCs w:val="24"/>
        </w:rPr>
        <w:t>=</w:t>
      </w:r>
      <w:r>
        <w:rPr>
          <w:rFonts w:ascii="Times New Roman" w:hAnsi="Times New Roman"/>
          <w:sz w:val="24"/>
          <w:szCs w:val="24"/>
        </w:rPr>
        <w:t xml:space="preserve"> </w:t>
      </w:r>
      <w:r w:rsidRPr="00DC134A">
        <w:rPr>
          <w:rFonts w:ascii="Times New Roman" w:hAnsi="Times New Roman"/>
          <w:sz w:val="24"/>
          <w:szCs w:val="24"/>
        </w:rPr>
        <w:t xml:space="preserve">3365) (Table 1). The </w:t>
      </w:r>
      <w:r>
        <w:rPr>
          <w:rFonts w:ascii="Times New Roman" w:hAnsi="Times New Roman"/>
          <w:sz w:val="24"/>
          <w:szCs w:val="24"/>
        </w:rPr>
        <w:t>use</w:t>
      </w:r>
      <w:r w:rsidRPr="00DC134A">
        <w:rPr>
          <w:rFonts w:ascii="Times New Roman" w:hAnsi="Times New Roman"/>
          <w:sz w:val="24"/>
          <w:szCs w:val="24"/>
        </w:rPr>
        <w:t xml:space="preserve"> of SGLT2i </w:t>
      </w:r>
      <w:r>
        <w:rPr>
          <w:rFonts w:ascii="Times New Roman" w:hAnsi="Times New Roman"/>
          <w:sz w:val="24"/>
          <w:szCs w:val="24"/>
        </w:rPr>
        <w:t>decreased</w:t>
      </w:r>
      <w:r w:rsidRPr="00DC134A">
        <w:rPr>
          <w:rFonts w:ascii="Times New Roman" w:hAnsi="Times New Roman"/>
          <w:sz w:val="24"/>
          <w:szCs w:val="24"/>
        </w:rPr>
        <w:t xml:space="preserve"> with age, reaching </w:t>
      </w:r>
      <w:r>
        <w:rPr>
          <w:rFonts w:ascii="Times New Roman" w:hAnsi="Times New Roman"/>
          <w:sz w:val="24"/>
          <w:szCs w:val="24"/>
        </w:rPr>
        <w:t>the</w:t>
      </w:r>
      <w:r w:rsidRPr="00DC134A">
        <w:rPr>
          <w:rFonts w:ascii="Times New Roman" w:hAnsi="Times New Roman"/>
          <w:sz w:val="24"/>
          <w:szCs w:val="24"/>
        </w:rPr>
        <w:t xml:space="preserve"> lowest </w:t>
      </w:r>
      <w:r>
        <w:rPr>
          <w:rFonts w:ascii="Times New Roman" w:hAnsi="Times New Roman"/>
          <w:sz w:val="24"/>
          <w:szCs w:val="24"/>
        </w:rPr>
        <w:t>value</w:t>
      </w:r>
      <w:r w:rsidRPr="00DC134A">
        <w:rPr>
          <w:rFonts w:ascii="Times New Roman" w:hAnsi="Times New Roman"/>
          <w:sz w:val="24"/>
          <w:szCs w:val="24"/>
        </w:rPr>
        <w:t xml:space="preserve"> among those aged </w:t>
      </w:r>
      <w:r>
        <w:rPr>
          <w:rFonts w:ascii="Times New Roman" w:hAnsi="Times New Roman"/>
          <w:sz w:val="24"/>
          <w:szCs w:val="24"/>
        </w:rPr>
        <w:t xml:space="preserve">≥ </w:t>
      </w:r>
      <w:r w:rsidRPr="00DC134A">
        <w:rPr>
          <w:rFonts w:ascii="Times New Roman" w:hAnsi="Times New Roman"/>
          <w:sz w:val="24"/>
          <w:szCs w:val="24"/>
        </w:rPr>
        <w:t xml:space="preserve">70 years (2.76 %). Women </w:t>
      </w:r>
      <w:r>
        <w:rPr>
          <w:rFonts w:ascii="Times New Roman" w:hAnsi="Times New Roman"/>
          <w:sz w:val="24"/>
          <w:szCs w:val="24"/>
        </w:rPr>
        <w:t>had</w:t>
      </w:r>
      <w:r w:rsidRPr="00DC134A">
        <w:rPr>
          <w:rFonts w:ascii="Times New Roman" w:hAnsi="Times New Roman"/>
          <w:sz w:val="24"/>
          <w:szCs w:val="24"/>
        </w:rPr>
        <w:t xml:space="preserve"> a lower utilization rate of SGLT2i compared to men. Regarding comorbidities, SGLT2i use was higher in patients with heart failure and dyslipidemia compared to those without these conditions. </w:t>
      </w:r>
      <w:r>
        <w:rPr>
          <w:rFonts w:ascii="Times New Roman" w:hAnsi="Times New Roman"/>
          <w:sz w:val="24"/>
          <w:szCs w:val="24"/>
        </w:rPr>
        <w:t>In contrast</w:t>
      </w:r>
      <w:r w:rsidRPr="00DC134A">
        <w:rPr>
          <w:rFonts w:ascii="Times New Roman" w:hAnsi="Times New Roman"/>
          <w:sz w:val="24"/>
          <w:szCs w:val="24"/>
        </w:rPr>
        <w:t xml:space="preserve">, patients with chronic kidney disease </w:t>
      </w:r>
      <w:r>
        <w:rPr>
          <w:rFonts w:ascii="Times New Roman" w:hAnsi="Times New Roman"/>
          <w:sz w:val="24"/>
          <w:szCs w:val="24"/>
        </w:rPr>
        <w:t>had</w:t>
      </w:r>
      <w:r w:rsidRPr="00DC134A">
        <w:rPr>
          <w:rFonts w:ascii="Times New Roman" w:hAnsi="Times New Roman"/>
          <w:sz w:val="24"/>
          <w:szCs w:val="24"/>
        </w:rPr>
        <w:t xml:space="preserve"> lower SGLT2i utilization </w:t>
      </w:r>
      <w:r>
        <w:rPr>
          <w:rFonts w:ascii="Times New Roman" w:hAnsi="Times New Roman"/>
          <w:sz w:val="24"/>
          <w:szCs w:val="24"/>
        </w:rPr>
        <w:t>that those without</w:t>
      </w:r>
      <w:r w:rsidRPr="00DC134A">
        <w:rPr>
          <w:rFonts w:ascii="Times New Roman" w:hAnsi="Times New Roman"/>
          <w:sz w:val="24"/>
          <w:szCs w:val="24"/>
        </w:rPr>
        <w:t xml:space="preserve">. Patients prescribed other cardioprotective agents, such as statins and ACEi/ARB, </w:t>
      </w:r>
      <w:r>
        <w:rPr>
          <w:rFonts w:ascii="Times New Roman" w:hAnsi="Times New Roman"/>
          <w:sz w:val="24"/>
          <w:szCs w:val="24"/>
        </w:rPr>
        <w:t>had</w:t>
      </w:r>
      <w:r w:rsidRPr="00DC134A">
        <w:rPr>
          <w:rFonts w:ascii="Times New Roman" w:hAnsi="Times New Roman"/>
          <w:sz w:val="24"/>
          <w:szCs w:val="24"/>
        </w:rPr>
        <w:t xml:space="preserve"> higher rates of SGLT2i use than those who were not prescribed these medications. Patients using DPP4i had significantly lower SGLT2i utilization compared to non-users (1.48 % vs. 11.87 %), whereas individuals using SU </w:t>
      </w:r>
      <w:r>
        <w:rPr>
          <w:rFonts w:ascii="Times New Roman" w:hAnsi="Times New Roman"/>
          <w:sz w:val="24"/>
          <w:szCs w:val="24"/>
        </w:rPr>
        <w:t>had</w:t>
      </w:r>
      <w:r w:rsidRPr="00DC134A">
        <w:rPr>
          <w:rFonts w:ascii="Times New Roman" w:hAnsi="Times New Roman"/>
          <w:sz w:val="24"/>
          <w:szCs w:val="24"/>
        </w:rPr>
        <w:t xml:space="preserve"> higher utilization rates (6.19 % vs. 5.61 %). In terms of physician specialty, cardiologist </w:t>
      </w:r>
      <w:r>
        <w:rPr>
          <w:rFonts w:ascii="Times New Roman" w:hAnsi="Times New Roman"/>
          <w:sz w:val="24"/>
          <w:szCs w:val="24"/>
        </w:rPr>
        <w:t>had</w:t>
      </w:r>
      <w:r w:rsidRPr="00DC134A">
        <w:rPr>
          <w:rFonts w:ascii="Times New Roman" w:hAnsi="Times New Roman"/>
          <w:sz w:val="24"/>
          <w:szCs w:val="24"/>
        </w:rPr>
        <w:t xml:space="preserve"> of the highest SGLT2i utilization (9.65 %), followed by endocrinologists, other internists, nephrologists</w:t>
      </w:r>
      <w:r>
        <w:rPr>
          <w:rFonts w:ascii="Times New Roman" w:hAnsi="Times New Roman"/>
          <w:sz w:val="24"/>
          <w:szCs w:val="24"/>
        </w:rPr>
        <w:t>,</w:t>
      </w:r>
      <w:r w:rsidRPr="00DC134A">
        <w:rPr>
          <w:rFonts w:ascii="Times New Roman" w:hAnsi="Times New Roman"/>
          <w:sz w:val="24"/>
          <w:szCs w:val="24"/>
        </w:rPr>
        <w:t xml:space="preserve"> and other physicians.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The overall utilization rate of GLP1RA was 0.49 % (n</w:t>
      </w:r>
      <w:r>
        <w:rPr>
          <w:rFonts w:ascii="Times New Roman" w:hAnsi="Times New Roman"/>
          <w:sz w:val="24"/>
          <w:szCs w:val="24"/>
        </w:rPr>
        <w:t xml:space="preserve"> </w:t>
      </w:r>
      <w:r w:rsidRPr="00DC134A">
        <w:rPr>
          <w:rFonts w:ascii="Times New Roman" w:hAnsi="Times New Roman"/>
          <w:sz w:val="24"/>
          <w:szCs w:val="24"/>
        </w:rPr>
        <w:t>=</w:t>
      </w:r>
      <w:r>
        <w:rPr>
          <w:rFonts w:ascii="Times New Roman" w:hAnsi="Times New Roman"/>
          <w:sz w:val="24"/>
          <w:szCs w:val="24"/>
        </w:rPr>
        <w:t xml:space="preserve"> </w:t>
      </w:r>
      <w:r w:rsidRPr="00DC134A">
        <w:rPr>
          <w:rFonts w:ascii="Times New Roman" w:hAnsi="Times New Roman"/>
          <w:sz w:val="24"/>
          <w:szCs w:val="24"/>
        </w:rPr>
        <w:t xml:space="preserve">284). GLP1RA utilization decreased with age. Patients with dyslipidemia or chronic kidney disease </w:t>
      </w:r>
      <w:r>
        <w:rPr>
          <w:rFonts w:ascii="Times New Roman" w:hAnsi="Times New Roman"/>
          <w:sz w:val="24"/>
          <w:szCs w:val="24"/>
        </w:rPr>
        <w:t>had</w:t>
      </w:r>
      <w:r w:rsidRPr="00DC134A">
        <w:rPr>
          <w:rFonts w:ascii="Times New Roman" w:hAnsi="Times New Roman"/>
          <w:sz w:val="24"/>
          <w:szCs w:val="24"/>
        </w:rPr>
        <w:t xml:space="preserve"> higher GLP1RA utilization than those without these conditions. Patients treated with statins </w:t>
      </w:r>
      <w:r>
        <w:rPr>
          <w:rFonts w:ascii="Times New Roman" w:hAnsi="Times New Roman"/>
          <w:sz w:val="24"/>
          <w:szCs w:val="24"/>
        </w:rPr>
        <w:t>had</w:t>
      </w:r>
      <w:r w:rsidRPr="00DC134A">
        <w:rPr>
          <w:rFonts w:ascii="Times New Roman" w:hAnsi="Times New Roman"/>
          <w:sz w:val="24"/>
          <w:szCs w:val="24"/>
        </w:rPr>
        <w:t xml:space="preserve"> higher GLP1RA </w:t>
      </w:r>
      <w:r>
        <w:rPr>
          <w:rFonts w:ascii="Times New Roman" w:hAnsi="Times New Roman"/>
          <w:sz w:val="24"/>
          <w:szCs w:val="24"/>
        </w:rPr>
        <w:t>use than those not treated with statins</w:t>
      </w:r>
      <w:r w:rsidRPr="00DC134A">
        <w:rPr>
          <w:rFonts w:ascii="Times New Roman" w:hAnsi="Times New Roman"/>
          <w:sz w:val="24"/>
          <w:szCs w:val="24"/>
        </w:rPr>
        <w:t xml:space="preserve">. Patients using DPP4i had </w:t>
      </w:r>
      <w:r>
        <w:rPr>
          <w:rFonts w:ascii="Times New Roman" w:hAnsi="Times New Roman"/>
          <w:sz w:val="24"/>
          <w:szCs w:val="24"/>
        </w:rPr>
        <w:t xml:space="preserve">a </w:t>
      </w:r>
      <w:r w:rsidRPr="00DC134A">
        <w:rPr>
          <w:rFonts w:ascii="Times New Roman" w:hAnsi="Times New Roman"/>
          <w:sz w:val="24"/>
          <w:szCs w:val="24"/>
        </w:rPr>
        <w:t xml:space="preserve">lower utilization rate of GLP1RA compared to non-users (0.12 % vs. 1.01 %), whereas those using SU had higher utilization rates compared to non-users (0.70 % vs. 0.35 %). Additionally, patients using insulin </w:t>
      </w:r>
      <w:r>
        <w:rPr>
          <w:rFonts w:ascii="Times New Roman" w:hAnsi="Times New Roman"/>
          <w:sz w:val="24"/>
          <w:szCs w:val="24"/>
        </w:rPr>
        <w:t>had</w:t>
      </w:r>
      <w:r w:rsidRPr="00DC134A">
        <w:rPr>
          <w:rFonts w:ascii="Times New Roman" w:hAnsi="Times New Roman"/>
          <w:sz w:val="24"/>
          <w:szCs w:val="24"/>
        </w:rPr>
        <w:t xml:space="preserve"> significantly higher GLP1RA </w:t>
      </w:r>
      <w:r>
        <w:rPr>
          <w:rFonts w:ascii="Times New Roman" w:hAnsi="Times New Roman"/>
          <w:sz w:val="24"/>
          <w:szCs w:val="24"/>
        </w:rPr>
        <w:t>use</w:t>
      </w:r>
      <w:r w:rsidRPr="00DC134A">
        <w:rPr>
          <w:rFonts w:ascii="Times New Roman" w:hAnsi="Times New Roman"/>
          <w:sz w:val="24"/>
          <w:szCs w:val="24"/>
        </w:rPr>
        <w:t xml:space="preserve"> compared to non-users (1.74 % vs. 0.33 %). Finally, endocrinologists had the highest GLP1RA use (1.01 %), followed by nephrologists, other internists, other physicians, and cardiologists.</w:t>
      </w:r>
    </w:p>
    <w:p w:rsidR="009641A1" w:rsidRPr="00DC134A" w:rsidRDefault="009641A1" w:rsidP="00DC134A">
      <w:pPr>
        <w:wordWrap/>
        <w:spacing w:line="480" w:lineRule="auto"/>
        <w:ind w:firstLineChars="50" w:firstLine="120"/>
        <w:rPr>
          <w:rFonts w:ascii="Times New Roman" w:hAnsi="Times New Roman"/>
          <w:b/>
          <w:i/>
          <w:sz w:val="24"/>
          <w:szCs w:val="24"/>
        </w:rPr>
      </w:pPr>
      <w:r w:rsidRPr="00DC134A">
        <w:rPr>
          <w:rFonts w:ascii="Times New Roman" w:hAnsi="Times New Roman"/>
          <w:b/>
          <w:i/>
          <w:sz w:val="24"/>
          <w:szCs w:val="24"/>
        </w:rPr>
        <w:t xml:space="preserve">Factors </w:t>
      </w:r>
      <w:r>
        <w:rPr>
          <w:rFonts w:ascii="Times New Roman" w:hAnsi="Times New Roman"/>
          <w:b/>
          <w:i/>
          <w:sz w:val="24"/>
          <w:szCs w:val="24"/>
        </w:rPr>
        <w:t>A</w:t>
      </w:r>
      <w:r w:rsidRPr="00DC134A">
        <w:rPr>
          <w:rFonts w:ascii="Times New Roman" w:hAnsi="Times New Roman"/>
          <w:b/>
          <w:i/>
          <w:sz w:val="24"/>
          <w:szCs w:val="24"/>
        </w:rPr>
        <w:t xml:space="preserve">ssociated with </w:t>
      </w:r>
      <w:r>
        <w:rPr>
          <w:rFonts w:ascii="Times New Roman" w:hAnsi="Times New Roman"/>
          <w:b/>
          <w:i/>
          <w:sz w:val="24"/>
          <w:szCs w:val="24"/>
        </w:rPr>
        <w:t xml:space="preserve">the </w:t>
      </w:r>
      <w:r w:rsidRPr="00DC134A">
        <w:rPr>
          <w:rFonts w:ascii="Times New Roman" w:hAnsi="Times New Roman"/>
          <w:b/>
          <w:i/>
          <w:sz w:val="24"/>
          <w:szCs w:val="24"/>
        </w:rPr>
        <w:t xml:space="preserve">Use of SGLT2i and GLP1RA </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The results of the multiple logistic regression analysis are presented in Table 2. Advanced age was associated with reduced SGLT2i use. Among the comorbidities, heart failure and </w:t>
      </w:r>
      <w:r w:rsidRPr="00DC134A">
        <w:rPr>
          <w:rFonts w:ascii="Times New Roman" w:hAnsi="Times New Roman"/>
          <w:sz w:val="24"/>
          <w:szCs w:val="24"/>
        </w:rPr>
        <w:lastRenderedPageBreak/>
        <w:t xml:space="preserve">dyslipidemia had a positive influence on SGLT2i use. In contrast, chronic kidney disease was associated with the underutilization of SGLT2i. In terms of physician specialty, cardiologists were more </w:t>
      </w:r>
      <w:r>
        <w:rPr>
          <w:rFonts w:ascii="Times New Roman" w:hAnsi="Times New Roman"/>
          <w:sz w:val="24"/>
          <w:szCs w:val="24"/>
        </w:rPr>
        <w:t>likely</w:t>
      </w:r>
      <w:r w:rsidRPr="00DC134A">
        <w:rPr>
          <w:rFonts w:ascii="Times New Roman" w:hAnsi="Times New Roman"/>
          <w:sz w:val="24"/>
          <w:szCs w:val="24"/>
        </w:rPr>
        <w:t xml:space="preserve"> to prescribe SGLT2i to patients with T2DM and ASCVD (OR = 1.22, [1.07, 1.40]) than were endocrinologists. In contrast, other internists and physicians were less likely to prescribe SGLT2i than </w:t>
      </w:r>
      <w:r>
        <w:rPr>
          <w:rFonts w:ascii="Times New Roman" w:hAnsi="Times New Roman"/>
          <w:sz w:val="24"/>
          <w:szCs w:val="24"/>
        </w:rPr>
        <w:t xml:space="preserve">were </w:t>
      </w:r>
      <w:r w:rsidRPr="00DC134A">
        <w:rPr>
          <w:rFonts w:ascii="Times New Roman" w:hAnsi="Times New Roman"/>
          <w:sz w:val="24"/>
          <w:szCs w:val="24"/>
        </w:rPr>
        <w:t xml:space="preserve">endocrinologists. Patients taking statins and ACEi/ARB </w:t>
      </w:r>
      <w:r>
        <w:rPr>
          <w:rFonts w:ascii="Times New Roman" w:hAnsi="Times New Roman"/>
          <w:sz w:val="24"/>
          <w:szCs w:val="24"/>
        </w:rPr>
        <w:t>were more</w:t>
      </w:r>
      <w:r w:rsidRPr="00DC134A">
        <w:rPr>
          <w:rFonts w:ascii="Times New Roman" w:hAnsi="Times New Roman"/>
          <w:sz w:val="24"/>
          <w:szCs w:val="24"/>
        </w:rPr>
        <w:t xml:space="preserve"> likel</w:t>
      </w:r>
      <w:r>
        <w:rPr>
          <w:rFonts w:ascii="Times New Roman" w:hAnsi="Times New Roman"/>
          <w:sz w:val="24"/>
          <w:szCs w:val="24"/>
        </w:rPr>
        <w:t>y</w:t>
      </w:r>
      <w:r w:rsidRPr="00DC134A">
        <w:rPr>
          <w:rFonts w:ascii="Times New Roman" w:hAnsi="Times New Roman"/>
          <w:sz w:val="24"/>
          <w:szCs w:val="24"/>
        </w:rPr>
        <w:t xml:space="preserve"> </w:t>
      </w:r>
      <w:r>
        <w:rPr>
          <w:rFonts w:ascii="Times New Roman" w:hAnsi="Times New Roman"/>
          <w:sz w:val="24"/>
          <w:szCs w:val="24"/>
        </w:rPr>
        <w:t>to use</w:t>
      </w:r>
      <w:r w:rsidRPr="00DC134A">
        <w:rPr>
          <w:rFonts w:ascii="Times New Roman" w:hAnsi="Times New Roman"/>
          <w:sz w:val="24"/>
          <w:szCs w:val="24"/>
        </w:rPr>
        <w:t xml:space="preserve"> SGLT2i than those not taking these medications. DPP4i use was a strong negative </w:t>
      </w:r>
      <w:r>
        <w:rPr>
          <w:rFonts w:ascii="Times New Roman" w:hAnsi="Times New Roman"/>
          <w:sz w:val="24"/>
          <w:szCs w:val="24"/>
        </w:rPr>
        <w:t>correlate</w:t>
      </w:r>
      <w:r w:rsidRPr="00DC134A">
        <w:rPr>
          <w:rFonts w:ascii="Times New Roman" w:hAnsi="Times New Roman"/>
          <w:sz w:val="24"/>
          <w:szCs w:val="24"/>
        </w:rPr>
        <w:t xml:space="preserve"> SGLT2i use (OR = 0.09, [0.09, 0.10]), whereas SU use was associated with increased SGLT2i use (OR = 1.30, [1.20, 1.40]).</w:t>
      </w:r>
    </w:p>
    <w:p w:rsidR="009641A1" w:rsidRPr="006C60E5" w:rsidRDefault="009641A1" w:rsidP="006C60E5">
      <w:pPr>
        <w:wordWrap/>
        <w:spacing w:line="480" w:lineRule="auto"/>
        <w:ind w:firstLineChars="100" w:firstLine="240"/>
        <w:rPr>
          <w:rFonts w:ascii="Times New Roman" w:hAnsi="Times New Roman"/>
          <w:sz w:val="24"/>
          <w:szCs w:val="24"/>
        </w:rPr>
      </w:pPr>
      <w:r>
        <w:rPr>
          <w:rFonts w:ascii="Times New Roman" w:hAnsi="Times New Roman"/>
          <w:sz w:val="24"/>
          <w:szCs w:val="24"/>
        </w:rPr>
        <w:t>Regarding</w:t>
      </w:r>
      <w:r w:rsidRPr="00DC134A">
        <w:rPr>
          <w:rFonts w:ascii="Times New Roman" w:hAnsi="Times New Roman"/>
          <w:sz w:val="24"/>
          <w:szCs w:val="24"/>
        </w:rPr>
        <w:t xml:space="preserve"> GLP1RA, patients </w:t>
      </w:r>
      <w:r>
        <w:rPr>
          <w:rFonts w:ascii="Times New Roman" w:hAnsi="Times New Roman"/>
          <w:sz w:val="24"/>
          <w:szCs w:val="24"/>
        </w:rPr>
        <w:t>&gt;</w:t>
      </w:r>
      <w:r w:rsidRPr="00DC134A">
        <w:rPr>
          <w:rFonts w:ascii="Times New Roman" w:hAnsi="Times New Roman"/>
          <w:sz w:val="24"/>
          <w:szCs w:val="24"/>
        </w:rPr>
        <w:t xml:space="preserve"> 50 years of age were less likely to use GLP1RA compared to those aged 20–30 years. Female patients were more likely to </w:t>
      </w:r>
      <w:r>
        <w:rPr>
          <w:rFonts w:ascii="Times New Roman" w:hAnsi="Times New Roman"/>
          <w:sz w:val="24"/>
          <w:szCs w:val="24"/>
        </w:rPr>
        <w:t>use</w:t>
      </w:r>
      <w:r w:rsidRPr="00DC134A">
        <w:rPr>
          <w:rFonts w:ascii="Times New Roman" w:hAnsi="Times New Roman"/>
          <w:sz w:val="24"/>
          <w:szCs w:val="24"/>
        </w:rPr>
        <w:t xml:space="preserve"> GLP1RA (OR = 1.35, [1.06, 1.73]) than male patients. Comorbid dyslipidemia was a positive factor for GLP1RA use. Patients taking statins were more likely to use GLP1RA than those not taking statins. Notably, taking DPP4i emerged as a significant negative factor </w:t>
      </w:r>
      <w:r>
        <w:rPr>
          <w:rFonts w:ascii="Times New Roman" w:hAnsi="Times New Roman"/>
          <w:sz w:val="24"/>
          <w:szCs w:val="24"/>
        </w:rPr>
        <w:t>for</w:t>
      </w:r>
      <w:r w:rsidRPr="00DC134A">
        <w:rPr>
          <w:rFonts w:ascii="Times New Roman" w:hAnsi="Times New Roman"/>
          <w:sz w:val="24"/>
          <w:szCs w:val="24"/>
        </w:rPr>
        <w:t xml:space="preserve"> GLP1RA use (OR = 0.12, [0.08, 0.16]). Conversely, SU and insulin use were independent strong positive factors </w:t>
      </w:r>
      <w:r>
        <w:rPr>
          <w:rFonts w:ascii="Times New Roman" w:hAnsi="Times New Roman"/>
          <w:sz w:val="24"/>
          <w:szCs w:val="24"/>
        </w:rPr>
        <w:t>associated with</w:t>
      </w:r>
      <w:r w:rsidRPr="00DC134A">
        <w:rPr>
          <w:rFonts w:ascii="Times New Roman" w:hAnsi="Times New Roman"/>
          <w:sz w:val="24"/>
          <w:szCs w:val="24"/>
        </w:rPr>
        <w:t xml:space="preserve"> GLP1RA </w:t>
      </w:r>
      <w:r>
        <w:rPr>
          <w:rFonts w:ascii="Times New Roman" w:hAnsi="Times New Roman"/>
          <w:sz w:val="24"/>
          <w:szCs w:val="24"/>
        </w:rPr>
        <w:t>use</w:t>
      </w:r>
      <w:r w:rsidRPr="00DC134A">
        <w:rPr>
          <w:rFonts w:ascii="Times New Roman" w:hAnsi="Times New Roman"/>
          <w:sz w:val="24"/>
          <w:szCs w:val="24"/>
        </w:rPr>
        <w:t xml:space="preserve"> (OR = 3.13, [2.44, 4.02] and OR = 3.71, [2.83, 4.85], respectively). Physicians specializing in cardiology, other internal medicine, and other specialties were less likely to prescribe GLP1RA in comparison to endocrinologists, with cardiologists </w:t>
      </w:r>
      <w:r>
        <w:rPr>
          <w:rFonts w:ascii="Times New Roman" w:hAnsi="Times New Roman"/>
          <w:sz w:val="24"/>
          <w:szCs w:val="24"/>
        </w:rPr>
        <w:t>being least likely to prescribe it</w:t>
      </w:r>
      <w:r w:rsidRPr="00DC134A">
        <w:rPr>
          <w:rFonts w:ascii="Times New Roman" w:hAnsi="Times New Roman"/>
          <w:sz w:val="24"/>
          <w:szCs w:val="24"/>
        </w:rPr>
        <w:t xml:space="preserve"> (OR = 0.24, [0.10, 0.49]). </w:t>
      </w:r>
    </w:p>
    <w:p w:rsidR="009641A1" w:rsidRPr="00DC134A" w:rsidRDefault="009641A1" w:rsidP="006C60E5">
      <w:pPr>
        <w:widowControl/>
        <w:wordWrap/>
        <w:autoSpaceDE/>
        <w:autoSpaceDN/>
        <w:rPr>
          <w:rFonts w:ascii="Times New Roman" w:hAnsi="Times New Roman"/>
          <w:b/>
          <w:i/>
          <w:sz w:val="24"/>
          <w:szCs w:val="24"/>
        </w:rPr>
      </w:pPr>
      <w:r w:rsidRPr="00DC134A">
        <w:rPr>
          <w:rFonts w:ascii="Times New Roman" w:hAnsi="Times New Roman"/>
          <w:b/>
          <w:i/>
          <w:sz w:val="24"/>
          <w:szCs w:val="24"/>
        </w:rPr>
        <w:t>Utilization trend</w:t>
      </w:r>
      <w:r>
        <w:rPr>
          <w:rFonts w:ascii="Times New Roman" w:hAnsi="Times New Roman"/>
          <w:b/>
          <w:i/>
          <w:sz w:val="24"/>
          <w:szCs w:val="24"/>
        </w:rPr>
        <w:t>s</w:t>
      </w:r>
      <w:r w:rsidRPr="00DC134A">
        <w:rPr>
          <w:rFonts w:ascii="Times New Roman" w:hAnsi="Times New Roman"/>
          <w:b/>
          <w:i/>
          <w:sz w:val="24"/>
          <w:szCs w:val="24"/>
        </w:rPr>
        <w:t xml:space="preserve"> </w:t>
      </w:r>
      <w:r>
        <w:rPr>
          <w:rFonts w:ascii="Times New Roman" w:hAnsi="Times New Roman"/>
          <w:b/>
          <w:i/>
          <w:sz w:val="24"/>
          <w:szCs w:val="24"/>
        </w:rPr>
        <w:t>for</w:t>
      </w:r>
      <w:r w:rsidRPr="00DC134A">
        <w:rPr>
          <w:rFonts w:ascii="Times New Roman" w:hAnsi="Times New Roman"/>
          <w:b/>
          <w:i/>
          <w:sz w:val="24"/>
          <w:szCs w:val="24"/>
        </w:rPr>
        <w:t xml:space="preserve"> each</w:t>
      </w:r>
      <w:r>
        <w:rPr>
          <w:rFonts w:ascii="Times New Roman" w:hAnsi="Times New Roman"/>
          <w:b/>
          <w:i/>
          <w:sz w:val="24"/>
          <w:szCs w:val="24"/>
        </w:rPr>
        <w:t xml:space="preserve"> </w:t>
      </w:r>
      <w:r w:rsidRPr="00DC134A">
        <w:rPr>
          <w:rFonts w:ascii="Times New Roman" w:hAnsi="Times New Roman"/>
          <w:b/>
          <w:i/>
          <w:sz w:val="24"/>
          <w:szCs w:val="24"/>
        </w:rPr>
        <w:t xml:space="preserve">SGLT2i </w:t>
      </w:r>
      <w:r>
        <w:rPr>
          <w:rFonts w:ascii="Times New Roman" w:hAnsi="Times New Roman"/>
          <w:b/>
          <w:i/>
          <w:sz w:val="24"/>
          <w:szCs w:val="24"/>
        </w:rPr>
        <w:t>agent</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Fig</w:t>
      </w:r>
      <w:r>
        <w:rPr>
          <w:rFonts w:ascii="Times New Roman" w:hAnsi="Times New Roman"/>
          <w:sz w:val="24"/>
          <w:szCs w:val="24"/>
        </w:rPr>
        <w:t>.</w:t>
      </w:r>
      <w:r w:rsidRPr="00DC134A">
        <w:rPr>
          <w:rFonts w:ascii="Times New Roman" w:hAnsi="Times New Roman"/>
          <w:sz w:val="24"/>
          <w:szCs w:val="24"/>
        </w:rPr>
        <w:t xml:space="preserve"> 3 illustrates the proportion of each SGLT2i </w:t>
      </w:r>
      <w:r>
        <w:rPr>
          <w:rFonts w:ascii="Times New Roman" w:hAnsi="Times New Roman"/>
          <w:sz w:val="24"/>
          <w:szCs w:val="24"/>
        </w:rPr>
        <w:t>agent</w:t>
      </w:r>
      <w:r w:rsidRPr="00DC134A">
        <w:rPr>
          <w:rFonts w:ascii="Times New Roman" w:hAnsi="Times New Roman"/>
          <w:sz w:val="24"/>
          <w:szCs w:val="24"/>
        </w:rPr>
        <w:t xml:space="preserve"> in relation to the total SGLT2i utilization per year. Dapagliflozin was dominant in 2015, accounting for 96.08 % of SGLT2i </w:t>
      </w:r>
      <w:r>
        <w:rPr>
          <w:rFonts w:ascii="Times New Roman" w:hAnsi="Times New Roman"/>
          <w:sz w:val="24"/>
          <w:szCs w:val="24"/>
        </w:rPr>
        <w:t>use</w:t>
      </w:r>
      <w:r w:rsidRPr="00DC134A">
        <w:rPr>
          <w:rFonts w:ascii="Times New Roman" w:hAnsi="Times New Roman"/>
          <w:sz w:val="24"/>
          <w:szCs w:val="24"/>
        </w:rPr>
        <w:t xml:space="preserve"> (Table S2). The introduction of empagliflozin in South Korea in 2016 precipitated consistent upward trend in its share. Conversely, </w:t>
      </w:r>
      <w:r>
        <w:rPr>
          <w:rFonts w:ascii="Times New Roman" w:hAnsi="Times New Roman"/>
          <w:sz w:val="24"/>
          <w:szCs w:val="24"/>
        </w:rPr>
        <w:t xml:space="preserve">the share of </w:t>
      </w:r>
      <w:r w:rsidRPr="00DC134A">
        <w:rPr>
          <w:rFonts w:ascii="Times New Roman" w:hAnsi="Times New Roman"/>
          <w:sz w:val="24"/>
          <w:szCs w:val="24"/>
        </w:rPr>
        <w:t xml:space="preserve">dapagliflozin showed a consistent </w:t>
      </w:r>
      <w:r w:rsidRPr="00DC134A">
        <w:rPr>
          <w:rFonts w:ascii="Times New Roman" w:hAnsi="Times New Roman"/>
          <w:sz w:val="24"/>
          <w:szCs w:val="24"/>
        </w:rPr>
        <w:lastRenderedPageBreak/>
        <w:t xml:space="preserve">decline. In 2020, the combined use of dapagliflozin and empagliflozin accounted for more than 96 % of the total SGLT2i utilization.    </w:t>
      </w:r>
    </w:p>
    <w:p w:rsidR="009641A1" w:rsidRDefault="009641A1" w:rsidP="00DC1754">
      <w:pPr>
        <w:widowControl/>
        <w:wordWrap/>
        <w:autoSpaceDE/>
        <w:autoSpaceDN/>
        <w:spacing w:line="480" w:lineRule="auto"/>
        <w:jc w:val="left"/>
        <w:rPr>
          <w:rFonts w:ascii="Times New Roman" w:hAnsi="Times New Roman"/>
          <w:b/>
          <w:sz w:val="28"/>
        </w:rPr>
      </w:pPr>
      <w:bookmarkStart w:id="4" w:name="_Hlk144126830"/>
    </w:p>
    <w:p w:rsidR="009641A1" w:rsidRPr="00DC134A" w:rsidRDefault="009641A1" w:rsidP="00DC1754">
      <w:pPr>
        <w:widowControl/>
        <w:wordWrap/>
        <w:autoSpaceDE/>
        <w:autoSpaceDN/>
        <w:spacing w:line="480" w:lineRule="auto"/>
        <w:jc w:val="left"/>
        <w:rPr>
          <w:rFonts w:ascii="Times New Roman" w:hAnsi="Times New Roman"/>
          <w:b/>
          <w:sz w:val="28"/>
        </w:rPr>
      </w:pPr>
      <w:r w:rsidRPr="00DC134A">
        <w:rPr>
          <w:rFonts w:ascii="Times New Roman" w:hAnsi="Times New Roman"/>
          <w:b/>
          <w:sz w:val="28"/>
        </w:rPr>
        <w:t>Discussion</w:t>
      </w:r>
    </w:p>
    <w:p w:rsidR="009641A1" w:rsidRPr="00DC134A" w:rsidRDefault="009641A1" w:rsidP="00E82EFA">
      <w:pPr>
        <w:widowControl/>
        <w:wordWrap/>
        <w:autoSpaceDE/>
        <w:autoSpaceDN/>
        <w:spacing w:line="480" w:lineRule="auto"/>
        <w:ind w:firstLineChars="100" w:firstLine="240"/>
        <w:rPr>
          <w:rFonts w:ascii="Times New Roman" w:hAnsi="Times New Roman"/>
          <w:sz w:val="24"/>
          <w:szCs w:val="24"/>
        </w:rPr>
      </w:pPr>
      <w:bookmarkStart w:id="5" w:name="_Hlk144660966"/>
      <w:r w:rsidRPr="00DC134A">
        <w:rPr>
          <w:rFonts w:ascii="Times New Roman" w:hAnsi="Times New Roman"/>
          <w:sz w:val="24"/>
          <w:szCs w:val="24"/>
        </w:rPr>
        <w:t xml:space="preserve">We observed a gradual increase in the utilization of SGLT2i and GLP1RA in patients with T2DM and ASCVD over the study period. From 2015 to 2020, the </w:t>
      </w:r>
      <w:r>
        <w:rPr>
          <w:rFonts w:ascii="Times New Roman" w:hAnsi="Times New Roman"/>
          <w:sz w:val="24"/>
          <w:szCs w:val="24"/>
        </w:rPr>
        <w:t>utilization</w:t>
      </w:r>
      <w:r w:rsidRPr="00DC134A">
        <w:rPr>
          <w:rFonts w:ascii="Times New Roman" w:hAnsi="Times New Roman"/>
          <w:sz w:val="24"/>
          <w:szCs w:val="24"/>
        </w:rPr>
        <w:t xml:space="preserve"> rate of SGLT2i increased from 1.20 % to 10.51 %, whereas the usage rate of GLP1RA increased from 0 % to 1.17 %. Despite this growth, the utilization of SGLT2i and GLP1RA remained significantly lower than that of medications lacking evidence of cardioprotection, such as DPP4i and SU. Furthermore, the utilization rate of GLP1RA was notably lower than that of any other antidiabetic class. </w:t>
      </w:r>
    </w:p>
    <w:bookmarkEnd w:id="5"/>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Pr>
          <w:rFonts w:ascii="Times New Roman" w:hAnsi="Times New Roman"/>
          <w:sz w:val="24"/>
          <w:szCs w:val="24"/>
        </w:rPr>
        <w:t>We</w:t>
      </w:r>
      <w:r w:rsidRPr="00DC134A">
        <w:rPr>
          <w:rFonts w:ascii="Times New Roman" w:hAnsi="Times New Roman"/>
          <w:sz w:val="24"/>
          <w:szCs w:val="24"/>
        </w:rPr>
        <w:t xml:space="preserve"> found that only 11.65 % of eligible patients taking SGLT2i and GLP1RA had received either of </w:t>
      </w:r>
      <w:r>
        <w:rPr>
          <w:rFonts w:ascii="Times New Roman" w:hAnsi="Times New Roman"/>
          <w:sz w:val="24"/>
          <w:szCs w:val="24"/>
        </w:rPr>
        <w:t>these agents</w:t>
      </w:r>
      <w:r w:rsidRPr="00DC134A">
        <w:rPr>
          <w:rFonts w:ascii="Times New Roman" w:hAnsi="Times New Roman"/>
          <w:sz w:val="24"/>
          <w:szCs w:val="24"/>
        </w:rPr>
        <w:t xml:space="preserve"> by 2020. In contrast to previous studies conducted in the US and Australia, where over 20 % of patients with </w:t>
      </w:r>
      <w:r>
        <w:rPr>
          <w:rFonts w:ascii="Times New Roman" w:hAnsi="Times New Roman"/>
          <w:sz w:val="24"/>
          <w:szCs w:val="24"/>
        </w:rPr>
        <w:t>concurrent</w:t>
      </w:r>
      <w:r w:rsidRPr="00DC134A">
        <w:rPr>
          <w:rFonts w:ascii="Times New Roman" w:hAnsi="Times New Roman"/>
          <w:sz w:val="24"/>
          <w:szCs w:val="24"/>
        </w:rPr>
        <w:t xml:space="preserve"> T2DM and ASCVD were using </w:t>
      </w:r>
      <w:r>
        <w:rPr>
          <w:rFonts w:ascii="Times New Roman" w:hAnsi="Times New Roman"/>
          <w:sz w:val="24"/>
          <w:szCs w:val="24"/>
        </w:rPr>
        <w:t>one of these</w:t>
      </w:r>
      <w:r w:rsidRPr="00DC134A">
        <w:rPr>
          <w:rFonts w:ascii="Times New Roman" w:hAnsi="Times New Roman"/>
          <w:sz w:val="24"/>
          <w:szCs w:val="24"/>
        </w:rPr>
        <w:t xml:space="preserve"> agent</w:t>
      </w:r>
      <w:r>
        <w:rPr>
          <w:rFonts w:ascii="Times New Roman" w:hAnsi="Times New Roman"/>
          <w:sz w:val="24"/>
          <w:szCs w:val="24"/>
        </w:rPr>
        <w:t>,</w:t>
      </w:r>
      <w:r w:rsidRPr="00FD7743">
        <w:rPr>
          <w:rFonts w:ascii="Times New Roman" w:hAnsi="Times New Roman"/>
          <w:noProof/>
          <w:sz w:val="24"/>
          <w:szCs w:val="24"/>
          <w:vertAlign w:val="superscript"/>
        </w:rPr>
        <w:t xml:space="preserve"> 19,29</w:t>
      </w:r>
      <w:r w:rsidRPr="00DC134A">
        <w:rPr>
          <w:rFonts w:ascii="Times New Roman" w:hAnsi="Times New Roman"/>
          <w:sz w:val="24"/>
          <w:szCs w:val="24"/>
        </w:rPr>
        <w:t xml:space="preserve"> it is evident that a substantial number of patients in South Korea did not receive adequate treatment. Furthermore, the utilization of SGLT2i and GLP1RA was significantly shorter than that of non-cardioprotective antidiabetic agents. Several previous studies have also shown that despite an increase in the utilization of SGLT2i and GLP1RA, non-cardioprotective antidiabetic agents were prescribed more frequently</w:t>
      </w:r>
      <w:r>
        <w:rPr>
          <w:rFonts w:ascii="Times New Roman" w:hAnsi="Times New Roman"/>
          <w:sz w:val="24"/>
          <w:szCs w:val="24"/>
        </w:rPr>
        <w:t>.</w:t>
      </w:r>
      <w:r w:rsidRPr="00FD7743">
        <w:rPr>
          <w:rFonts w:ascii="Times New Roman" w:hAnsi="Times New Roman"/>
          <w:noProof/>
          <w:sz w:val="24"/>
          <w:szCs w:val="24"/>
          <w:vertAlign w:val="superscript"/>
        </w:rPr>
        <w:t xml:space="preserve"> 19,20,26</w:t>
      </w:r>
      <w:r>
        <w:rPr>
          <w:rFonts w:ascii="Times New Roman" w:hAnsi="Times New Roman"/>
          <w:sz w:val="24"/>
          <w:szCs w:val="24"/>
        </w:rPr>
        <w:t xml:space="preserve"> </w:t>
      </w:r>
      <w:r w:rsidRPr="00DC134A">
        <w:rPr>
          <w:rFonts w:ascii="Times New Roman" w:hAnsi="Times New Roman"/>
          <w:sz w:val="24"/>
          <w:szCs w:val="24"/>
        </w:rPr>
        <w:t>The underutilization of SGLT2i and GLP1RA could be attributed to clinical inertia. Despite the publication of various clinical trial results and updated guidelines, physicians tend to prescribe older medications over newer recommended options</w:t>
      </w:r>
      <w:r>
        <w:rPr>
          <w:rFonts w:ascii="Times New Roman" w:hAnsi="Times New Roman"/>
          <w:sz w:val="24"/>
          <w:szCs w:val="24"/>
        </w:rPr>
        <w:t>.</w:t>
      </w:r>
      <w:r w:rsidRPr="00FD7743">
        <w:rPr>
          <w:rFonts w:ascii="Times New Roman" w:hAnsi="Times New Roman"/>
          <w:noProof/>
          <w:sz w:val="24"/>
          <w:szCs w:val="24"/>
          <w:vertAlign w:val="superscript"/>
        </w:rPr>
        <w:t xml:space="preserve"> 30,31</w:t>
      </w:r>
      <w:r w:rsidRPr="00DC134A">
        <w:rPr>
          <w:rFonts w:ascii="Times New Roman" w:hAnsi="Times New Roman"/>
          <w:sz w:val="24"/>
          <w:szCs w:val="24"/>
        </w:rPr>
        <w:t xml:space="preserve"> This tendency may be attributed to a lack of knowledge among </w:t>
      </w:r>
      <w:r w:rsidRPr="00DC134A">
        <w:rPr>
          <w:rFonts w:ascii="Times New Roman" w:hAnsi="Times New Roman"/>
          <w:sz w:val="24"/>
          <w:szCs w:val="24"/>
        </w:rPr>
        <w:lastRenderedPageBreak/>
        <w:t>physicians, reliance on their own clinical assessments, or consideration of patients preferences</w:t>
      </w:r>
      <w:r>
        <w:rPr>
          <w:rFonts w:ascii="Times New Roman" w:hAnsi="Times New Roman"/>
          <w:sz w:val="24"/>
          <w:szCs w:val="24"/>
        </w:rPr>
        <w:t>.</w:t>
      </w:r>
      <w:r w:rsidRPr="00FD7743">
        <w:rPr>
          <w:rFonts w:ascii="Times New Roman" w:hAnsi="Times New Roman"/>
          <w:noProof/>
          <w:sz w:val="24"/>
          <w:szCs w:val="24"/>
          <w:vertAlign w:val="superscript"/>
        </w:rPr>
        <w:t xml:space="preserve"> 31,32</w:t>
      </w:r>
      <w:r w:rsidRPr="00DC134A">
        <w:rPr>
          <w:rFonts w:ascii="Times New Roman" w:hAnsi="Times New Roman"/>
          <w:sz w:val="24"/>
          <w:szCs w:val="24"/>
        </w:rPr>
        <w:t xml:space="preserve"> Moreover, the limited use of SGLT2i and GLP1RA could be linked to stringent insurance cover criteria. Specifically, SGLT2i </w:t>
      </w:r>
      <w:r>
        <w:rPr>
          <w:rFonts w:ascii="Times New Roman" w:hAnsi="Times New Roman"/>
          <w:sz w:val="24"/>
          <w:szCs w:val="24"/>
        </w:rPr>
        <w:t>were</w:t>
      </w:r>
      <w:r w:rsidRPr="00DC134A">
        <w:rPr>
          <w:rFonts w:ascii="Times New Roman" w:hAnsi="Times New Roman"/>
          <w:sz w:val="24"/>
          <w:szCs w:val="24"/>
        </w:rPr>
        <w:t xml:space="preserve"> only covered by the NHI as an add-on therapy. Eligibility for SGLT2i cover </w:t>
      </w:r>
      <w:r>
        <w:rPr>
          <w:rFonts w:ascii="Times New Roman" w:hAnsi="Times New Roman"/>
          <w:sz w:val="24"/>
          <w:szCs w:val="24"/>
        </w:rPr>
        <w:t>required</w:t>
      </w:r>
      <w:r w:rsidRPr="00DC134A">
        <w:rPr>
          <w:rFonts w:ascii="Times New Roman" w:hAnsi="Times New Roman"/>
          <w:sz w:val="24"/>
          <w:szCs w:val="24"/>
        </w:rPr>
        <w:t xml:space="preserve"> either intolerance to monotherapy or elevated HbA1C levels, which </w:t>
      </w:r>
      <w:r>
        <w:rPr>
          <w:rFonts w:ascii="Times New Roman" w:hAnsi="Times New Roman"/>
          <w:sz w:val="24"/>
          <w:szCs w:val="24"/>
        </w:rPr>
        <w:t>limited</w:t>
      </w:r>
      <w:r w:rsidRPr="00DC134A">
        <w:rPr>
          <w:rFonts w:ascii="Times New Roman" w:hAnsi="Times New Roman"/>
          <w:sz w:val="24"/>
          <w:szCs w:val="24"/>
        </w:rPr>
        <w:t xml:space="preserve"> </w:t>
      </w:r>
      <w:r>
        <w:rPr>
          <w:rFonts w:ascii="Times New Roman" w:hAnsi="Times New Roman"/>
          <w:sz w:val="24"/>
          <w:szCs w:val="24"/>
        </w:rPr>
        <w:t>their</w:t>
      </w:r>
      <w:r w:rsidRPr="00DC134A">
        <w:rPr>
          <w:rFonts w:ascii="Times New Roman" w:hAnsi="Times New Roman"/>
          <w:sz w:val="24"/>
          <w:szCs w:val="24"/>
        </w:rPr>
        <w:t xml:space="preserve"> accessibility. Similarly, GLP1RA </w:t>
      </w:r>
      <w:r>
        <w:rPr>
          <w:rFonts w:ascii="Times New Roman" w:hAnsi="Times New Roman"/>
          <w:sz w:val="24"/>
          <w:szCs w:val="24"/>
        </w:rPr>
        <w:t>required</w:t>
      </w:r>
      <w:r w:rsidRPr="00DC134A">
        <w:rPr>
          <w:rFonts w:ascii="Times New Roman" w:hAnsi="Times New Roman"/>
          <w:sz w:val="24"/>
          <w:szCs w:val="24"/>
        </w:rPr>
        <w:t xml:space="preserve"> an add-on therapy status for insurance cover, with eligibility extended to patients with intolerance to dual oral agent therapy or insulin. For those intolerant to dual oral agents, additional criteria such as BMI ≥ </w:t>
      </w:r>
      <m:oMath>
        <m:sSup>
          <m:sSupPr>
            <m:ctrlPr>
              <w:rPr>
                <w:rFonts w:ascii="Cambria Math" w:hAnsi="Cambria Math"/>
                <w:sz w:val="24"/>
                <w:szCs w:val="24"/>
              </w:rPr>
            </m:ctrlPr>
          </m:sSupPr>
          <m:e>
            <m:r>
              <w:rPr>
                <w:rFonts w:ascii="Cambria Math" w:hAnsi="Cambria Math"/>
                <w:sz w:val="24"/>
                <w:szCs w:val="24"/>
              </w:rPr>
              <m:t>25kg/m</m:t>
            </m:r>
          </m:e>
          <m:sup>
            <m:r>
              <w:rPr>
                <w:rFonts w:ascii="Cambria Math" w:hAnsi="Cambria Math"/>
                <w:sz w:val="24"/>
                <w:szCs w:val="24"/>
              </w:rPr>
              <m:t>2</m:t>
            </m:r>
          </m:sup>
        </m:sSup>
      </m:oMath>
      <w:r w:rsidRPr="00DC134A">
        <w:rPr>
          <w:rFonts w:ascii="Times New Roman" w:hAnsi="Times New Roman"/>
          <w:sz w:val="24"/>
          <w:szCs w:val="24"/>
        </w:rPr>
        <w:t xml:space="preserve"> or contra</w:t>
      </w:r>
      <w:r>
        <w:rPr>
          <w:rFonts w:ascii="Times New Roman" w:hAnsi="Times New Roman"/>
          <w:sz w:val="24"/>
          <w:szCs w:val="24"/>
        </w:rPr>
        <w:t>indi</w:t>
      </w:r>
      <w:r w:rsidRPr="00DC134A">
        <w:rPr>
          <w:rFonts w:ascii="Times New Roman" w:hAnsi="Times New Roman"/>
          <w:sz w:val="24"/>
          <w:szCs w:val="24"/>
        </w:rPr>
        <w:t>c</w:t>
      </w:r>
      <w:r>
        <w:rPr>
          <w:rFonts w:ascii="Times New Roman" w:hAnsi="Times New Roman"/>
          <w:sz w:val="24"/>
          <w:szCs w:val="24"/>
        </w:rPr>
        <w:t>a</w:t>
      </w:r>
      <w:r w:rsidRPr="00DC134A">
        <w:rPr>
          <w:rFonts w:ascii="Times New Roman" w:hAnsi="Times New Roman"/>
          <w:sz w:val="24"/>
          <w:szCs w:val="24"/>
        </w:rPr>
        <w:t xml:space="preserve">tion to insulin </w:t>
      </w:r>
      <w:r>
        <w:rPr>
          <w:rFonts w:ascii="Times New Roman" w:hAnsi="Times New Roman"/>
          <w:sz w:val="24"/>
          <w:szCs w:val="24"/>
        </w:rPr>
        <w:t>were required</w:t>
      </w:r>
      <w:r w:rsidRPr="00DC134A">
        <w:rPr>
          <w:rFonts w:ascii="Times New Roman" w:hAnsi="Times New Roman"/>
          <w:sz w:val="24"/>
          <w:szCs w:val="24"/>
        </w:rPr>
        <w:t xml:space="preserve">. The extremely low utilization of GLP1RA compared with </w:t>
      </w:r>
      <w:r>
        <w:rPr>
          <w:rFonts w:ascii="Times New Roman" w:hAnsi="Times New Roman"/>
          <w:sz w:val="24"/>
          <w:szCs w:val="24"/>
        </w:rPr>
        <w:t xml:space="preserve">that in </w:t>
      </w:r>
      <w:r w:rsidRPr="00DC134A">
        <w:rPr>
          <w:rFonts w:ascii="Times New Roman" w:hAnsi="Times New Roman"/>
          <w:sz w:val="24"/>
          <w:szCs w:val="24"/>
        </w:rPr>
        <w:t>other countries</w:t>
      </w:r>
      <w:r w:rsidRPr="00FD7743">
        <w:rPr>
          <w:rFonts w:ascii="Times New Roman" w:hAnsi="Times New Roman"/>
          <w:noProof/>
          <w:sz w:val="24"/>
          <w:szCs w:val="24"/>
          <w:vertAlign w:val="superscript"/>
        </w:rPr>
        <w:t>19,23-25</w:t>
      </w:r>
      <w:r w:rsidRPr="00DC134A">
        <w:rPr>
          <w:rFonts w:ascii="Times New Roman" w:hAnsi="Times New Roman"/>
          <w:sz w:val="24"/>
          <w:szCs w:val="24"/>
        </w:rPr>
        <w:t xml:space="preserve"> could be explained by these strict </w:t>
      </w:r>
      <w:r>
        <w:rPr>
          <w:rFonts w:ascii="Times New Roman" w:hAnsi="Times New Roman"/>
          <w:sz w:val="24"/>
          <w:szCs w:val="24"/>
        </w:rPr>
        <w:t>insurance cover requirements</w:t>
      </w:r>
      <w:r w:rsidRPr="00DC134A">
        <w:rPr>
          <w:rFonts w:ascii="Times New Roman" w:hAnsi="Times New Roman"/>
          <w:sz w:val="24"/>
          <w:szCs w:val="24"/>
        </w:rPr>
        <w:t xml:space="preserve">. Government efforts to lower the insurance cover threshold for SGLT2i and GLP1RA are needed to ensure adequate utilization of these agents.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We also identified factors influencing the use of SGTL2i and GLP1RA. Factors associated with low SGLT2i use included older age, the presence of comorbid chronic kidney disease, concurrent use of DPP4i and insulin, and receiving prescriptions from other internists and other physicians. Conversely, comorbid dyslipidemia and heart failure, concurrent use of statins and SU, and receiving prescriptions from cardiologists and endocrinologists were associated with high SGLT2i use. Regarding GLP1RA, factors associated with low GLP1RA use included older age, concurrent use of DPP4i, and receiving a prescription from other internists, other physicians, or cardiologists. Conversely, female sex, presence of dyslipidemia, and concurrent use of statins, insulin, and SU were associated with high GLP1RA utilization.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This study identified lower utilization rates of both SGLT2i and GLP1RA in </w:t>
      </w:r>
      <w:r>
        <w:rPr>
          <w:rFonts w:ascii="Times New Roman" w:hAnsi="Times New Roman"/>
          <w:sz w:val="24"/>
          <w:szCs w:val="24"/>
        </w:rPr>
        <w:t>older</w:t>
      </w:r>
      <w:r w:rsidRPr="00DC134A">
        <w:rPr>
          <w:rFonts w:ascii="Times New Roman" w:hAnsi="Times New Roman"/>
          <w:sz w:val="24"/>
          <w:szCs w:val="24"/>
        </w:rPr>
        <w:t xml:space="preserve"> patients. This may be attributed to the concerns of physicians regarding complex comorbidities, polypharmacy, and adverse drug reactions (ADR) in this age group</w:t>
      </w:r>
      <w:r>
        <w:rPr>
          <w:rFonts w:ascii="Times New Roman" w:hAnsi="Times New Roman"/>
          <w:sz w:val="24"/>
          <w:szCs w:val="24"/>
        </w:rPr>
        <w:t>.</w:t>
      </w:r>
      <w:r w:rsidRPr="00FD7743">
        <w:rPr>
          <w:rFonts w:ascii="Times New Roman" w:hAnsi="Times New Roman"/>
          <w:noProof/>
          <w:sz w:val="24"/>
          <w:szCs w:val="24"/>
          <w:vertAlign w:val="superscript"/>
        </w:rPr>
        <w:t xml:space="preserve"> 22,33</w:t>
      </w:r>
      <w:r w:rsidRPr="00DC134A">
        <w:rPr>
          <w:rFonts w:ascii="Times New Roman" w:hAnsi="Times New Roman"/>
          <w:sz w:val="24"/>
          <w:szCs w:val="24"/>
        </w:rPr>
        <w:t xml:space="preserve"> </w:t>
      </w:r>
      <w:r>
        <w:rPr>
          <w:rFonts w:ascii="Times New Roman" w:hAnsi="Times New Roman"/>
          <w:sz w:val="24"/>
          <w:szCs w:val="24"/>
        </w:rPr>
        <w:t>T</w:t>
      </w:r>
      <w:r w:rsidRPr="00DC134A">
        <w:rPr>
          <w:rFonts w:ascii="Times New Roman" w:hAnsi="Times New Roman"/>
          <w:sz w:val="24"/>
          <w:szCs w:val="24"/>
        </w:rPr>
        <w:t xml:space="preserve">hese concerns should </w:t>
      </w:r>
      <w:r w:rsidRPr="00DC134A">
        <w:rPr>
          <w:rFonts w:ascii="Times New Roman" w:hAnsi="Times New Roman"/>
          <w:sz w:val="24"/>
          <w:szCs w:val="24"/>
        </w:rPr>
        <w:lastRenderedPageBreak/>
        <w:t>be considered</w:t>
      </w:r>
      <w:r>
        <w:rPr>
          <w:rFonts w:ascii="Times New Roman" w:hAnsi="Times New Roman"/>
          <w:sz w:val="24"/>
          <w:szCs w:val="24"/>
        </w:rPr>
        <w:t>; nevertheless</w:t>
      </w:r>
      <w:r w:rsidRPr="00DC134A">
        <w:rPr>
          <w:rFonts w:ascii="Times New Roman" w:hAnsi="Times New Roman"/>
          <w:sz w:val="24"/>
          <w:szCs w:val="24"/>
        </w:rPr>
        <w:t xml:space="preserve">, it is essential to emphasize that </w:t>
      </w:r>
      <w:r>
        <w:rPr>
          <w:rFonts w:ascii="Times New Roman" w:hAnsi="Times New Roman"/>
          <w:sz w:val="24"/>
          <w:szCs w:val="24"/>
        </w:rPr>
        <w:t>older</w:t>
      </w:r>
      <w:r w:rsidRPr="00DC134A">
        <w:rPr>
          <w:rFonts w:ascii="Times New Roman" w:hAnsi="Times New Roman"/>
          <w:sz w:val="24"/>
          <w:szCs w:val="24"/>
        </w:rPr>
        <w:t xml:space="preserve"> patients are more susceptible to cardiovascular diseases</w:t>
      </w:r>
      <w:r>
        <w:rPr>
          <w:rFonts w:ascii="Times New Roman" w:hAnsi="Times New Roman"/>
          <w:sz w:val="24"/>
          <w:szCs w:val="24"/>
        </w:rPr>
        <w:t>.</w:t>
      </w:r>
      <w:r w:rsidRPr="00FD7743">
        <w:rPr>
          <w:rFonts w:ascii="Times New Roman" w:hAnsi="Times New Roman"/>
          <w:noProof/>
          <w:sz w:val="24"/>
          <w:szCs w:val="24"/>
          <w:vertAlign w:val="superscript"/>
        </w:rPr>
        <w:t xml:space="preserve"> 34</w:t>
      </w:r>
      <w:r w:rsidRPr="00DC134A">
        <w:rPr>
          <w:rFonts w:ascii="Times New Roman" w:hAnsi="Times New Roman"/>
          <w:sz w:val="24"/>
          <w:szCs w:val="24"/>
        </w:rPr>
        <w:t xml:space="preserve"> Thus, with closer monitoring and care, prescribing of SGLT2i and GLP1RA should be prioritized in older patients.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Notably, female patients were more likely to </w:t>
      </w:r>
      <w:r>
        <w:rPr>
          <w:rFonts w:ascii="Times New Roman" w:hAnsi="Times New Roman"/>
          <w:sz w:val="24"/>
          <w:szCs w:val="24"/>
        </w:rPr>
        <w:t>use</w:t>
      </w:r>
      <w:r w:rsidRPr="00DC134A">
        <w:rPr>
          <w:rFonts w:ascii="Times New Roman" w:hAnsi="Times New Roman"/>
          <w:sz w:val="24"/>
          <w:szCs w:val="24"/>
        </w:rPr>
        <w:t xml:space="preserve"> GLP1RA (OR = 1.35, [1.06, 1.73]) than male patients. Weight management is particularly important in individuals with T2DM</w:t>
      </w:r>
      <w:r>
        <w:rPr>
          <w:rFonts w:ascii="Times New Roman" w:hAnsi="Times New Roman"/>
          <w:sz w:val="24"/>
          <w:szCs w:val="24"/>
        </w:rPr>
        <w:t>.</w:t>
      </w:r>
      <w:r w:rsidRPr="00FD7743">
        <w:rPr>
          <w:rFonts w:ascii="Times New Roman" w:hAnsi="Times New Roman"/>
          <w:noProof/>
          <w:sz w:val="24"/>
          <w:szCs w:val="24"/>
          <w:vertAlign w:val="superscript"/>
        </w:rPr>
        <w:t xml:space="preserve"> 35</w:t>
      </w:r>
      <w:r w:rsidRPr="00DC134A">
        <w:rPr>
          <w:rFonts w:ascii="Times New Roman" w:hAnsi="Times New Roman"/>
          <w:sz w:val="24"/>
          <w:szCs w:val="24"/>
        </w:rPr>
        <w:t xml:space="preserve"> GLP1RA not only provide cardiovascular protection but also offers weight loss benefits</w:t>
      </w:r>
      <w:r>
        <w:rPr>
          <w:rFonts w:ascii="Times New Roman" w:hAnsi="Times New Roman"/>
          <w:sz w:val="24"/>
          <w:szCs w:val="24"/>
        </w:rPr>
        <w:t>.</w:t>
      </w:r>
      <w:r w:rsidRPr="00FD7743">
        <w:rPr>
          <w:rFonts w:ascii="Times New Roman" w:hAnsi="Times New Roman"/>
          <w:noProof/>
          <w:sz w:val="24"/>
          <w:szCs w:val="24"/>
          <w:vertAlign w:val="superscript"/>
        </w:rPr>
        <w:t xml:space="preserve"> 36</w:t>
      </w:r>
      <w:r w:rsidRPr="00DC134A">
        <w:rPr>
          <w:rFonts w:ascii="Times New Roman" w:hAnsi="Times New Roman"/>
          <w:sz w:val="24"/>
          <w:szCs w:val="24"/>
        </w:rPr>
        <w:t xml:space="preserve"> Given that weight loss is more </w:t>
      </w:r>
      <w:r>
        <w:rPr>
          <w:rFonts w:ascii="Times New Roman" w:hAnsi="Times New Roman"/>
          <w:sz w:val="24"/>
          <w:szCs w:val="24"/>
        </w:rPr>
        <w:t xml:space="preserve">pronounced in </w:t>
      </w:r>
      <w:r w:rsidRPr="00DC134A">
        <w:rPr>
          <w:rFonts w:ascii="Times New Roman" w:hAnsi="Times New Roman"/>
          <w:sz w:val="24"/>
          <w:szCs w:val="24"/>
        </w:rPr>
        <w:t>women than men</w:t>
      </w:r>
      <w:r>
        <w:rPr>
          <w:rFonts w:ascii="Times New Roman" w:hAnsi="Times New Roman"/>
          <w:sz w:val="24"/>
          <w:szCs w:val="24"/>
        </w:rPr>
        <w:t>,</w:t>
      </w:r>
      <w:r w:rsidRPr="00FD7743">
        <w:rPr>
          <w:rFonts w:ascii="Times New Roman" w:hAnsi="Times New Roman"/>
          <w:noProof/>
          <w:sz w:val="24"/>
          <w:szCs w:val="24"/>
          <w:vertAlign w:val="superscript"/>
        </w:rPr>
        <w:t xml:space="preserve"> 36,37</w:t>
      </w:r>
      <w:r w:rsidRPr="00DC134A">
        <w:rPr>
          <w:rFonts w:ascii="Times New Roman" w:hAnsi="Times New Roman"/>
          <w:sz w:val="24"/>
          <w:szCs w:val="24"/>
        </w:rPr>
        <w:t xml:space="preserve"> it is plausible that GLP1RA were prescribed more frequently for weight management in women and were their preferred choice</w:t>
      </w:r>
      <w:r>
        <w:rPr>
          <w:rFonts w:ascii="Times New Roman" w:hAnsi="Times New Roman"/>
          <w:sz w:val="24"/>
          <w:szCs w:val="24"/>
        </w:rPr>
        <w:t>.</w:t>
      </w:r>
      <w:r w:rsidRPr="00FD7743">
        <w:rPr>
          <w:rFonts w:ascii="Times New Roman" w:hAnsi="Times New Roman"/>
          <w:noProof/>
          <w:sz w:val="24"/>
          <w:szCs w:val="24"/>
          <w:vertAlign w:val="superscript"/>
        </w:rPr>
        <w:t xml:space="preserve"> 38</w:t>
      </w:r>
      <w:r w:rsidRPr="00DC134A">
        <w:rPr>
          <w:rFonts w:ascii="Times New Roman" w:hAnsi="Times New Roman"/>
          <w:sz w:val="24"/>
          <w:szCs w:val="24"/>
        </w:rPr>
        <w:t xml:space="preserve"> </w:t>
      </w:r>
      <w:r>
        <w:rPr>
          <w:rFonts w:ascii="Times New Roman" w:hAnsi="Times New Roman"/>
          <w:sz w:val="24"/>
          <w:szCs w:val="24"/>
        </w:rPr>
        <w:t>T</w:t>
      </w:r>
      <w:r w:rsidRPr="00DC134A">
        <w:rPr>
          <w:rFonts w:ascii="Times New Roman" w:hAnsi="Times New Roman"/>
          <w:sz w:val="24"/>
          <w:szCs w:val="24"/>
        </w:rPr>
        <w:t xml:space="preserve">here was no significant trend to use more SGLT2i for female patients, </w:t>
      </w:r>
      <w:r>
        <w:rPr>
          <w:rFonts w:ascii="Times New Roman" w:hAnsi="Times New Roman"/>
          <w:sz w:val="24"/>
          <w:szCs w:val="24"/>
        </w:rPr>
        <w:t>in contrast to</w:t>
      </w:r>
      <w:r w:rsidRPr="00DC134A">
        <w:rPr>
          <w:rFonts w:ascii="Times New Roman" w:hAnsi="Times New Roman"/>
          <w:sz w:val="24"/>
          <w:szCs w:val="24"/>
        </w:rPr>
        <w:t xml:space="preserve"> the findings from previous studies</w:t>
      </w:r>
      <w:r>
        <w:rPr>
          <w:rFonts w:ascii="Times New Roman" w:hAnsi="Times New Roman"/>
          <w:sz w:val="24"/>
          <w:szCs w:val="24"/>
        </w:rPr>
        <w:t>.</w:t>
      </w:r>
      <w:r w:rsidRPr="00FD7743">
        <w:rPr>
          <w:rFonts w:ascii="Times New Roman" w:hAnsi="Times New Roman"/>
          <w:noProof/>
          <w:sz w:val="24"/>
          <w:szCs w:val="24"/>
          <w:vertAlign w:val="superscript"/>
        </w:rPr>
        <w:t xml:space="preserve"> 21,25,39</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The results also revealed a correlation between prescription</w:t>
      </w:r>
      <w:r>
        <w:rPr>
          <w:rFonts w:ascii="Times New Roman" w:hAnsi="Times New Roman"/>
          <w:sz w:val="24"/>
          <w:szCs w:val="24"/>
        </w:rPr>
        <w:t>s</w:t>
      </w:r>
      <w:r w:rsidRPr="00DC134A">
        <w:rPr>
          <w:rFonts w:ascii="Times New Roman" w:hAnsi="Times New Roman"/>
          <w:sz w:val="24"/>
          <w:szCs w:val="24"/>
        </w:rPr>
        <w:t xml:space="preserve"> and comorbidities. Patients with dyslipidemia were more likely to be prescribed both SGLT2i and GLP1RA than those without dyslipidemia. Given that elevated lipid levels are considered a risk factor for cardiovascular disease</w:t>
      </w:r>
      <w:r>
        <w:rPr>
          <w:rFonts w:ascii="Times New Roman" w:hAnsi="Times New Roman"/>
          <w:sz w:val="24"/>
          <w:szCs w:val="24"/>
        </w:rPr>
        <w:t>,</w:t>
      </w:r>
      <w:r w:rsidRPr="00FD7743">
        <w:rPr>
          <w:rFonts w:ascii="Times New Roman" w:hAnsi="Times New Roman"/>
          <w:noProof/>
          <w:sz w:val="24"/>
          <w:szCs w:val="24"/>
          <w:vertAlign w:val="superscript"/>
        </w:rPr>
        <w:t xml:space="preserve"> 40</w:t>
      </w:r>
      <w:r w:rsidRPr="00DC134A">
        <w:rPr>
          <w:rFonts w:ascii="Times New Roman" w:hAnsi="Times New Roman"/>
          <w:sz w:val="24"/>
          <w:szCs w:val="24"/>
        </w:rPr>
        <w:t xml:space="preserve"> it is likely that physicians considered the lipid levels of these patients and prescribed SGLT2i and GLP1RA for their cardiovascular benefits. Patients with heart failure were more likely to be prescribed SGLT2i than those without heart failure. While a Canadian study identified </w:t>
      </w:r>
      <w:r>
        <w:rPr>
          <w:rFonts w:ascii="Times New Roman" w:hAnsi="Times New Roman"/>
          <w:sz w:val="24"/>
          <w:szCs w:val="24"/>
        </w:rPr>
        <w:t>concurrent</w:t>
      </w:r>
      <w:r w:rsidRPr="00DC134A">
        <w:rPr>
          <w:rFonts w:ascii="Times New Roman" w:hAnsi="Times New Roman"/>
          <w:sz w:val="24"/>
          <w:szCs w:val="24"/>
        </w:rPr>
        <w:t xml:space="preserve"> heart failure as a negative factor (OR = 0.77, [0.74, 0.80]) for SGLT2i use in patients with T2DM and ASCVD</w:t>
      </w:r>
      <w:r>
        <w:rPr>
          <w:rFonts w:ascii="Times New Roman" w:hAnsi="Times New Roman"/>
          <w:sz w:val="24"/>
          <w:szCs w:val="24"/>
        </w:rPr>
        <w:t>,</w:t>
      </w:r>
      <w:r w:rsidRPr="00FD7743">
        <w:rPr>
          <w:rFonts w:ascii="Times New Roman" w:hAnsi="Times New Roman"/>
          <w:noProof/>
          <w:sz w:val="24"/>
          <w:szCs w:val="24"/>
          <w:vertAlign w:val="superscript"/>
        </w:rPr>
        <w:t xml:space="preserve"> 21</w:t>
      </w:r>
      <w:r w:rsidRPr="00DC134A">
        <w:rPr>
          <w:rFonts w:ascii="Times New Roman" w:hAnsi="Times New Roman"/>
          <w:sz w:val="24"/>
          <w:szCs w:val="24"/>
        </w:rPr>
        <w:t xml:space="preserve"> our study revealed that SGLT2i were appropriately prescribed to patients with heart failure, consistent with the benefits of SGLT2i</w:t>
      </w:r>
      <w:r>
        <w:rPr>
          <w:rFonts w:ascii="Times New Roman" w:hAnsi="Times New Roman"/>
          <w:sz w:val="24"/>
          <w:szCs w:val="24"/>
        </w:rPr>
        <w:t xml:space="preserve"> in </w:t>
      </w:r>
      <w:r w:rsidRPr="00DC134A">
        <w:rPr>
          <w:rFonts w:ascii="Times New Roman" w:hAnsi="Times New Roman"/>
          <w:sz w:val="24"/>
          <w:szCs w:val="24"/>
        </w:rPr>
        <w:t>heart failure</w:t>
      </w:r>
      <w:r>
        <w:rPr>
          <w:rFonts w:ascii="Times New Roman" w:hAnsi="Times New Roman"/>
          <w:sz w:val="24"/>
          <w:szCs w:val="24"/>
        </w:rPr>
        <w:t>.</w:t>
      </w:r>
      <w:r w:rsidRPr="00FD7743">
        <w:rPr>
          <w:rFonts w:ascii="Times New Roman" w:hAnsi="Times New Roman"/>
          <w:noProof/>
          <w:sz w:val="24"/>
          <w:szCs w:val="24"/>
          <w:vertAlign w:val="superscript"/>
        </w:rPr>
        <w:t xml:space="preserve"> 41</w:t>
      </w:r>
      <w:r w:rsidRPr="00DC134A">
        <w:rPr>
          <w:rFonts w:ascii="Times New Roman" w:hAnsi="Times New Roman"/>
          <w:sz w:val="24"/>
          <w:szCs w:val="24"/>
        </w:rPr>
        <w:t xml:space="preserve"> In contrast, </w:t>
      </w:r>
      <w:r>
        <w:rPr>
          <w:rFonts w:ascii="Times New Roman" w:hAnsi="Times New Roman"/>
          <w:sz w:val="24"/>
          <w:szCs w:val="24"/>
        </w:rPr>
        <w:t>concurrent</w:t>
      </w:r>
      <w:r w:rsidRPr="00DC134A">
        <w:rPr>
          <w:rFonts w:ascii="Times New Roman" w:hAnsi="Times New Roman"/>
          <w:sz w:val="24"/>
          <w:szCs w:val="24"/>
        </w:rPr>
        <w:t xml:space="preserve"> chronic kidney disease </w:t>
      </w:r>
      <w:r>
        <w:rPr>
          <w:rFonts w:ascii="Times New Roman" w:hAnsi="Times New Roman"/>
          <w:sz w:val="24"/>
          <w:szCs w:val="24"/>
        </w:rPr>
        <w:t xml:space="preserve">was </w:t>
      </w:r>
      <w:r w:rsidRPr="00DC134A">
        <w:rPr>
          <w:rFonts w:ascii="Times New Roman" w:hAnsi="Times New Roman"/>
          <w:sz w:val="24"/>
          <w:szCs w:val="24"/>
        </w:rPr>
        <w:t xml:space="preserve">negatively </w:t>
      </w:r>
      <w:r>
        <w:rPr>
          <w:rFonts w:ascii="Times New Roman" w:hAnsi="Times New Roman"/>
          <w:sz w:val="24"/>
          <w:szCs w:val="24"/>
        </w:rPr>
        <w:t>associated with</w:t>
      </w:r>
      <w:r w:rsidRPr="00DC134A">
        <w:rPr>
          <w:rFonts w:ascii="Times New Roman" w:hAnsi="Times New Roman"/>
          <w:sz w:val="24"/>
          <w:szCs w:val="24"/>
        </w:rPr>
        <w:t xml:space="preserve"> SGLT2i use but did not affect GLP1RA utilization, despite both classes offering renal benefits</w:t>
      </w:r>
      <w:r>
        <w:rPr>
          <w:rFonts w:ascii="Times New Roman" w:hAnsi="Times New Roman"/>
          <w:sz w:val="24"/>
          <w:szCs w:val="24"/>
        </w:rPr>
        <w:t>.</w:t>
      </w:r>
      <w:r w:rsidRPr="00FD7743">
        <w:rPr>
          <w:rFonts w:ascii="Times New Roman" w:hAnsi="Times New Roman"/>
          <w:noProof/>
          <w:sz w:val="24"/>
          <w:szCs w:val="24"/>
          <w:vertAlign w:val="superscript"/>
        </w:rPr>
        <w:t xml:space="preserve"> 13</w:t>
      </w:r>
      <w:r>
        <w:rPr>
          <w:rFonts w:ascii="Times New Roman" w:hAnsi="Times New Roman"/>
          <w:sz w:val="24"/>
          <w:szCs w:val="24"/>
        </w:rPr>
        <w:t xml:space="preserve"> </w:t>
      </w:r>
      <w:r w:rsidRPr="00DC134A">
        <w:rPr>
          <w:rFonts w:ascii="Times New Roman" w:hAnsi="Times New Roman"/>
          <w:sz w:val="24"/>
          <w:szCs w:val="24"/>
        </w:rPr>
        <w:t xml:space="preserve">As new indications and clinical evidence for SGLT2i and GLP1RA accumulate, it is essential for physicians to remain informed and assess patient comorbidities before prescribing.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lastRenderedPageBreak/>
        <w:t xml:space="preserve">Furthermore, our study identified that the use of DPP4i </w:t>
      </w:r>
      <w:r>
        <w:rPr>
          <w:rFonts w:ascii="Times New Roman" w:hAnsi="Times New Roman"/>
          <w:sz w:val="24"/>
          <w:szCs w:val="24"/>
        </w:rPr>
        <w:t xml:space="preserve">was </w:t>
      </w:r>
      <w:r w:rsidRPr="00DC134A">
        <w:rPr>
          <w:rFonts w:ascii="Times New Roman" w:hAnsi="Times New Roman"/>
          <w:sz w:val="24"/>
          <w:szCs w:val="24"/>
        </w:rPr>
        <w:t xml:space="preserve">significantly negatively </w:t>
      </w:r>
      <w:r>
        <w:rPr>
          <w:rFonts w:ascii="Times New Roman" w:hAnsi="Times New Roman"/>
          <w:sz w:val="24"/>
          <w:szCs w:val="24"/>
        </w:rPr>
        <w:t>associated with</w:t>
      </w:r>
      <w:r w:rsidRPr="00DC134A">
        <w:rPr>
          <w:rFonts w:ascii="Times New Roman" w:hAnsi="Times New Roman"/>
          <w:sz w:val="24"/>
          <w:szCs w:val="24"/>
        </w:rPr>
        <w:t xml:space="preserve"> both SGLT2i and GLP1RA use (OR = 0.09, [0.09, 0.10] and OR = 0.12, [0.08, 0.16], respectively) in patients with T2DM and </w:t>
      </w:r>
      <w:r w:rsidRPr="00B81C7C">
        <w:rPr>
          <w:rFonts w:ascii="Times New Roman" w:hAnsi="Times New Roman"/>
          <w:sz w:val="24"/>
          <w:szCs w:val="24"/>
        </w:rPr>
        <w:t>ASCVD. Combining DPP4i and GLP1RA is generally not recommended because these two classes of antidiabetic agents share a common mechanism of action, which revolves around enhancing the activity of the incretin hormone GLP-1 and no additional benefit has been identified when combined</w:t>
      </w:r>
      <w:r>
        <w:rPr>
          <w:rFonts w:ascii="Times New Roman" w:hAnsi="Times New Roman"/>
          <w:sz w:val="24"/>
          <w:szCs w:val="24"/>
        </w:rPr>
        <w:t>.</w:t>
      </w:r>
      <w:r w:rsidRPr="00FD7743">
        <w:rPr>
          <w:rFonts w:ascii="Times New Roman" w:hAnsi="Times New Roman"/>
          <w:noProof/>
          <w:sz w:val="24"/>
          <w:szCs w:val="24"/>
          <w:vertAlign w:val="superscript"/>
        </w:rPr>
        <w:t xml:space="preserve"> 42</w:t>
      </w:r>
      <w:r w:rsidRPr="00B81C7C">
        <w:rPr>
          <w:rFonts w:ascii="Times New Roman" w:hAnsi="Times New Roman"/>
          <w:sz w:val="24"/>
          <w:szCs w:val="24"/>
        </w:rPr>
        <w:t xml:space="preserve"> Therefore, this medication combination was not covered by NHI. In contrast, although combining SGLT2i with DPP4i may offer additional advantages</w:t>
      </w:r>
      <w:r>
        <w:rPr>
          <w:rFonts w:ascii="Times New Roman" w:hAnsi="Times New Roman"/>
          <w:sz w:val="24"/>
          <w:szCs w:val="24"/>
        </w:rPr>
        <w:t>,</w:t>
      </w:r>
      <w:r w:rsidRPr="00FD7743">
        <w:rPr>
          <w:rFonts w:ascii="Times New Roman" w:hAnsi="Times New Roman"/>
          <w:noProof/>
          <w:sz w:val="24"/>
          <w:szCs w:val="24"/>
          <w:vertAlign w:val="superscript"/>
        </w:rPr>
        <w:t xml:space="preserve"> 43</w:t>
      </w:r>
      <w:r w:rsidRPr="00B81C7C">
        <w:rPr>
          <w:rFonts w:ascii="Times New Roman" w:hAnsi="Times New Roman"/>
          <w:sz w:val="24"/>
          <w:szCs w:val="24"/>
        </w:rPr>
        <w:t xml:space="preserve"> such combination therapy was not covered by insurance</w:t>
      </w:r>
      <w:r>
        <w:rPr>
          <w:rFonts w:ascii="Times New Roman" w:hAnsi="Times New Roman"/>
          <w:sz w:val="24"/>
          <w:szCs w:val="24"/>
        </w:rPr>
        <w:t>.</w:t>
      </w:r>
      <w:r w:rsidRPr="00FD7743">
        <w:rPr>
          <w:rFonts w:ascii="Times New Roman" w:hAnsi="Times New Roman"/>
          <w:noProof/>
          <w:sz w:val="24"/>
          <w:szCs w:val="24"/>
          <w:vertAlign w:val="superscript"/>
        </w:rPr>
        <w:t xml:space="preserve"> 26</w:t>
      </w:r>
      <w:r w:rsidRPr="00B81C7C">
        <w:rPr>
          <w:rFonts w:ascii="Times New Roman" w:hAnsi="Times New Roman"/>
          <w:sz w:val="24"/>
          <w:szCs w:val="24"/>
        </w:rPr>
        <w:t xml:space="preserve"> This restriction might discourage dual therapies</w:t>
      </w:r>
      <w:r w:rsidRPr="00DC134A">
        <w:rPr>
          <w:rFonts w:ascii="Times New Roman" w:hAnsi="Times New Roman"/>
          <w:sz w:val="24"/>
          <w:szCs w:val="24"/>
        </w:rPr>
        <w:t xml:space="preserve"> because of concerns about increased patient copayments</w:t>
      </w:r>
      <w:r>
        <w:rPr>
          <w:rFonts w:ascii="Times New Roman" w:hAnsi="Times New Roman"/>
          <w:sz w:val="24"/>
          <w:szCs w:val="24"/>
        </w:rPr>
        <w:t>.</w:t>
      </w:r>
      <w:r w:rsidRPr="00FD7743">
        <w:rPr>
          <w:rFonts w:ascii="Times New Roman" w:hAnsi="Times New Roman"/>
          <w:noProof/>
          <w:sz w:val="24"/>
          <w:szCs w:val="24"/>
          <w:vertAlign w:val="superscript"/>
        </w:rPr>
        <w:t xml:space="preserve"> 44</w:t>
      </w:r>
      <w:r w:rsidRPr="00DC134A">
        <w:rPr>
          <w:rFonts w:ascii="Times New Roman" w:hAnsi="Times New Roman"/>
          <w:sz w:val="24"/>
          <w:szCs w:val="24"/>
        </w:rPr>
        <w:t xml:space="preserve"> Conversely, </w:t>
      </w:r>
      <w:r>
        <w:rPr>
          <w:rFonts w:ascii="Times New Roman" w:hAnsi="Times New Roman"/>
          <w:sz w:val="24"/>
          <w:szCs w:val="24"/>
        </w:rPr>
        <w:t>because</w:t>
      </w:r>
      <w:r w:rsidRPr="00DC134A">
        <w:rPr>
          <w:rFonts w:ascii="Times New Roman" w:hAnsi="Times New Roman"/>
          <w:sz w:val="24"/>
          <w:szCs w:val="24"/>
        </w:rPr>
        <w:t xml:space="preserve"> combining SU with SGLT2i and GLP1RA </w:t>
      </w:r>
      <w:r>
        <w:rPr>
          <w:rFonts w:ascii="Times New Roman" w:hAnsi="Times New Roman"/>
          <w:sz w:val="24"/>
          <w:szCs w:val="24"/>
        </w:rPr>
        <w:t>were</w:t>
      </w:r>
      <w:r w:rsidRPr="00DC134A">
        <w:rPr>
          <w:rFonts w:ascii="Times New Roman" w:hAnsi="Times New Roman"/>
          <w:sz w:val="24"/>
          <w:szCs w:val="24"/>
        </w:rPr>
        <w:t xml:space="preserve"> covered by insurance, the use of SU was associated with a higher utilization of both SGLT2i and GLP1RA. Similarly, patients using insulin were more likely to be prescribed GLP1RA. To ensure that appropriate and comprehensive treatments can be administered according to </w:t>
      </w:r>
      <w:r>
        <w:rPr>
          <w:rFonts w:ascii="Times New Roman" w:hAnsi="Times New Roman"/>
          <w:sz w:val="24"/>
          <w:szCs w:val="24"/>
        </w:rPr>
        <w:t xml:space="preserve">the </w:t>
      </w:r>
      <w:r w:rsidRPr="00DC134A">
        <w:rPr>
          <w:rFonts w:ascii="Times New Roman" w:hAnsi="Times New Roman"/>
          <w:sz w:val="24"/>
          <w:szCs w:val="24"/>
        </w:rPr>
        <w:t>patients’ clinical conditions, including their cardiovascular risk, government efforts are needed to expand insurance cover for antidiabetic agent combinations.</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Moreover, differences in the utilization of SGLT2i and GLP1RA were observed based on the physician’s specialty. Cardiologists were more likely to prescribe SGLT2i than endocrinologists (OR = 1.22, [1.07, 1.40]). Previous studies in other countries have identified lower utilization of SGLT2i by cardiologists than by endocrinologists, along with their limited understanding of the cardiovascular benefits associated with SGLT2i</w:t>
      </w:r>
      <w:r>
        <w:rPr>
          <w:rFonts w:ascii="Times New Roman" w:hAnsi="Times New Roman"/>
          <w:sz w:val="24"/>
          <w:szCs w:val="24"/>
        </w:rPr>
        <w:t>.</w:t>
      </w:r>
      <w:r w:rsidRPr="00FD7743">
        <w:rPr>
          <w:rFonts w:ascii="Times New Roman" w:hAnsi="Times New Roman"/>
          <w:noProof/>
          <w:sz w:val="24"/>
          <w:szCs w:val="24"/>
          <w:vertAlign w:val="superscript"/>
        </w:rPr>
        <w:t xml:space="preserve"> 21,45</w:t>
      </w:r>
      <w:r w:rsidRPr="00DC134A">
        <w:rPr>
          <w:rFonts w:ascii="Times New Roman" w:hAnsi="Times New Roman"/>
          <w:sz w:val="24"/>
          <w:szCs w:val="24"/>
        </w:rPr>
        <w:t xml:space="preserve"> However, our study demonstrated that cardiologists exhibited a better understanding of the cardiovascular benefits associated with SGLT2i. In contrast, GLP1RA were less likely to be </w:t>
      </w:r>
      <w:r>
        <w:rPr>
          <w:rFonts w:ascii="Times New Roman" w:hAnsi="Times New Roman"/>
          <w:sz w:val="24"/>
          <w:szCs w:val="24"/>
        </w:rPr>
        <w:t>prescribed</w:t>
      </w:r>
      <w:r w:rsidRPr="00DC134A">
        <w:rPr>
          <w:rFonts w:ascii="Times New Roman" w:hAnsi="Times New Roman"/>
          <w:sz w:val="24"/>
          <w:szCs w:val="24"/>
        </w:rPr>
        <w:t xml:space="preserve"> by cardiologists than endocrinologists (OR = 0.24, [0.10, 0.49]). This could be attributed to patient and </w:t>
      </w:r>
      <w:r w:rsidRPr="00DC134A">
        <w:rPr>
          <w:rFonts w:ascii="Times New Roman" w:hAnsi="Times New Roman"/>
          <w:sz w:val="24"/>
          <w:szCs w:val="24"/>
        </w:rPr>
        <w:lastRenderedPageBreak/>
        <w:t>cardiologist preferences for oral medications over injectables</w:t>
      </w:r>
      <w:r>
        <w:rPr>
          <w:rFonts w:ascii="Times New Roman" w:hAnsi="Times New Roman"/>
          <w:sz w:val="24"/>
          <w:szCs w:val="24"/>
        </w:rPr>
        <w:t>,</w:t>
      </w:r>
      <w:r w:rsidRPr="00FD7743">
        <w:rPr>
          <w:rFonts w:ascii="Times New Roman" w:hAnsi="Times New Roman"/>
          <w:noProof/>
          <w:sz w:val="24"/>
          <w:szCs w:val="24"/>
          <w:vertAlign w:val="superscript"/>
        </w:rPr>
        <w:t xml:space="preserve"> 46,47</w:t>
      </w:r>
      <w:r w:rsidRPr="00DC134A">
        <w:rPr>
          <w:rFonts w:ascii="Times New Roman" w:hAnsi="Times New Roman"/>
          <w:sz w:val="24"/>
          <w:szCs w:val="24"/>
        </w:rPr>
        <w:t xml:space="preserve"> particularly considering that GLP1RA are only available in an injectable form. Moreover, other internists and physicians were less likely to prescribe both SGLT2i and GLP1RA. Given that this group was responsible for prescribing to more than 60 % of patients, there is a clear need to facilitate their prescription of SGLT2i and GLP1RA.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Regarding trends in SGLT2i use, dapagliflozin accounted for 96.08 % of total SGLT2i use in 2015. Following the introduction of empagliflozin in 2016, its market share exhibited a consistent upward trend, </w:t>
      </w:r>
      <w:r>
        <w:rPr>
          <w:rFonts w:ascii="Times New Roman" w:hAnsi="Times New Roman"/>
          <w:sz w:val="24"/>
          <w:szCs w:val="24"/>
        </w:rPr>
        <w:t>reaching</w:t>
      </w:r>
      <w:r w:rsidRPr="00DC134A">
        <w:rPr>
          <w:rFonts w:ascii="Times New Roman" w:hAnsi="Times New Roman"/>
          <w:sz w:val="24"/>
          <w:szCs w:val="24"/>
        </w:rPr>
        <w:t xml:space="preserve"> 44.01 % of total SGLT2i use in 2020. This upward trend may have been driven by the publication of trials on empagliflozin and its cardiovascular benefits</w:t>
      </w:r>
      <w:r>
        <w:rPr>
          <w:rFonts w:ascii="Times New Roman" w:hAnsi="Times New Roman"/>
          <w:sz w:val="24"/>
          <w:szCs w:val="24"/>
        </w:rPr>
        <w:t>.</w:t>
      </w:r>
      <w:r w:rsidRPr="00FD7743">
        <w:rPr>
          <w:rFonts w:ascii="Times New Roman" w:hAnsi="Times New Roman"/>
          <w:noProof/>
          <w:sz w:val="24"/>
          <w:szCs w:val="24"/>
          <w:vertAlign w:val="superscript"/>
        </w:rPr>
        <w:t xml:space="preserve"> 48</w:t>
      </w:r>
      <w:r w:rsidRPr="00DC134A">
        <w:rPr>
          <w:rFonts w:ascii="Times New Roman" w:hAnsi="Times New Roman"/>
          <w:sz w:val="24"/>
          <w:szCs w:val="24"/>
        </w:rPr>
        <w:t xml:space="preserve"> The increase between 2018 and 2020 was more gradual than that in previous years, possibly due to the impact of trials related to dapagliflozin published in 2019</w:t>
      </w:r>
      <w:r>
        <w:rPr>
          <w:rFonts w:ascii="Times New Roman" w:hAnsi="Times New Roman"/>
          <w:sz w:val="24"/>
          <w:szCs w:val="24"/>
        </w:rPr>
        <w:t>.</w:t>
      </w:r>
      <w:r w:rsidRPr="00FD7743">
        <w:rPr>
          <w:rFonts w:ascii="Times New Roman" w:hAnsi="Times New Roman"/>
          <w:noProof/>
          <w:sz w:val="24"/>
          <w:szCs w:val="24"/>
          <w:vertAlign w:val="superscript"/>
        </w:rPr>
        <w:t xml:space="preserve"> 7,8</w:t>
      </w:r>
      <w:r w:rsidRPr="00DC134A">
        <w:rPr>
          <w:rFonts w:ascii="Times New Roman" w:hAnsi="Times New Roman"/>
          <w:sz w:val="24"/>
          <w:szCs w:val="24"/>
        </w:rPr>
        <w:t xml:space="preserve"> It might have also been influenced by the broader insurance cover of dapagliflozin in comparison to empagliflozin during the study period. As additional trials continue to demonstrate the cardioprotective effects of other SGLT2i agents and insurance cover expands, future studies will be necessary to examine changes in the utilization of different SGLT2i components among patients with T2DM and ASCVD.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Our study had some limitations. First, we used claims data collected primarily for reimbursement purposes. Owing to the nature of the data, inaccuracies </w:t>
      </w:r>
      <w:r>
        <w:rPr>
          <w:rFonts w:ascii="Times New Roman" w:hAnsi="Times New Roman"/>
          <w:sz w:val="24"/>
          <w:szCs w:val="24"/>
        </w:rPr>
        <w:t>in</w:t>
      </w:r>
      <w:r w:rsidRPr="00DC134A">
        <w:rPr>
          <w:rFonts w:ascii="Times New Roman" w:hAnsi="Times New Roman"/>
          <w:sz w:val="24"/>
          <w:szCs w:val="24"/>
        </w:rPr>
        <w:t xml:space="preserve"> diagnos</w:t>
      </w:r>
      <w:r>
        <w:rPr>
          <w:rFonts w:ascii="Times New Roman" w:hAnsi="Times New Roman"/>
          <w:sz w:val="24"/>
          <w:szCs w:val="24"/>
        </w:rPr>
        <w:t>tic</w:t>
      </w:r>
      <w:r w:rsidRPr="00DC134A">
        <w:rPr>
          <w:rFonts w:ascii="Times New Roman" w:hAnsi="Times New Roman"/>
          <w:sz w:val="24"/>
          <w:szCs w:val="24"/>
        </w:rPr>
        <w:t xml:space="preserve"> information </w:t>
      </w:r>
      <w:r>
        <w:rPr>
          <w:rFonts w:ascii="Times New Roman" w:hAnsi="Times New Roman"/>
          <w:sz w:val="24"/>
          <w:szCs w:val="24"/>
        </w:rPr>
        <w:t>that</w:t>
      </w:r>
      <w:r w:rsidRPr="00DC134A">
        <w:rPr>
          <w:rFonts w:ascii="Times New Roman" w:hAnsi="Times New Roman"/>
          <w:sz w:val="24"/>
          <w:szCs w:val="24"/>
        </w:rPr>
        <w:t xml:space="preserve"> differ from the actual information</w:t>
      </w:r>
      <w:r>
        <w:rPr>
          <w:rFonts w:ascii="Times New Roman" w:hAnsi="Times New Roman"/>
          <w:sz w:val="24"/>
          <w:szCs w:val="24"/>
        </w:rPr>
        <w:t xml:space="preserve"> may have been present</w:t>
      </w:r>
      <w:r w:rsidRPr="00DC134A">
        <w:rPr>
          <w:rFonts w:ascii="Times New Roman" w:hAnsi="Times New Roman"/>
          <w:sz w:val="24"/>
          <w:szCs w:val="24"/>
        </w:rPr>
        <w:t xml:space="preserve">. Second, our data lacked clinical information such as plasma glucose level, HbA1C, or disease severity. Furthermore, we lacked socioeconomic data including income levels and education. Although we </w:t>
      </w:r>
      <w:r>
        <w:rPr>
          <w:rFonts w:ascii="Times New Roman" w:hAnsi="Times New Roman"/>
          <w:sz w:val="24"/>
          <w:szCs w:val="24"/>
        </w:rPr>
        <w:t>used</w:t>
      </w:r>
      <w:r w:rsidRPr="00DC134A">
        <w:rPr>
          <w:rFonts w:ascii="Times New Roman" w:hAnsi="Times New Roman"/>
          <w:sz w:val="24"/>
          <w:szCs w:val="24"/>
        </w:rPr>
        <w:t xml:space="preserve"> disease codes (KCD-7) instead of clinical parameters to determine the patients’ conditions, the availability of clinical information would have contributed to a more precise </w:t>
      </w:r>
      <w:r w:rsidRPr="00DC134A">
        <w:rPr>
          <w:rFonts w:ascii="Times New Roman" w:hAnsi="Times New Roman"/>
          <w:sz w:val="24"/>
          <w:szCs w:val="24"/>
        </w:rPr>
        <w:lastRenderedPageBreak/>
        <w:t xml:space="preserve">assessment of the patients’ status and medication use. Similarly, we were unable to consider factors such as patient intolerance, contraindications, or ADR when assessing medication use. Third, GLP1RA with </w:t>
      </w:r>
      <w:r>
        <w:rPr>
          <w:rFonts w:ascii="Times New Roman" w:hAnsi="Times New Roman"/>
          <w:sz w:val="24"/>
          <w:szCs w:val="24"/>
        </w:rPr>
        <w:t>evidence of</w:t>
      </w:r>
      <w:r w:rsidRPr="00DC134A">
        <w:rPr>
          <w:rFonts w:ascii="Times New Roman" w:hAnsi="Times New Roman"/>
          <w:sz w:val="24"/>
          <w:szCs w:val="24"/>
        </w:rPr>
        <w:t xml:space="preserve"> CVD benefits </w:t>
      </w:r>
      <w:r>
        <w:rPr>
          <w:rFonts w:ascii="Times New Roman" w:hAnsi="Times New Roman"/>
          <w:sz w:val="24"/>
          <w:szCs w:val="24"/>
        </w:rPr>
        <w:t>(</w:t>
      </w:r>
      <w:r w:rsidRPr="00DC134A">
        <w:rPr>
          <w:rFonts w:ascii="Times New Roman" w:hAnsi="Times New Roman"/>
          <w:sz w:val="24"/>
          <w:szCs w:val="24"/>
        </w:rPr>
        <w:t>liraglutide and semaglutide</w:t>
      </w:r>
      <w:r>
        <w:rPr>
          <w:rFonts w:ascii="Times New Roman" w:hAnsi="Times New Roman"/>
          <w:sz w:val="24"/>
          <w:szCs w:val="24"/>
        </w:rPr>
        <w:t xml:space="preserve">) </w:t>
      </w:r>
      <w:r w:rsidRPr="00DC134A">
        <w:rPr>
          <w:rFonts w:ascii="Times New Roman" w:hAnsi="Times New Roman"/>
          <w:sz w:val="24"/>
          <w:szCs w:val="24"/>
        </w:rPr>
        <w:t xml:space="preserve">were not included in this study because of the lack of insurance cover during the study period. Similar to GLP1RA, given the favorable shifts in the reimbursement and accessibility of both SGLT2i and GLP1RA, there is an increasing need for future research that considers these developments.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Nevertheless, our study provides several significant insights. We have reported recent trends of SGLT2i and GLP1RA in patients with </w:t>
      </w:r>
      <w:r>
        <w:rPr>
          <w:rFonts w:ascii="Times New Roman" w:hAnsi="Times New Roman"/>
          <w:sz w:val="24"/>
          <w:szCs w:val="24"/>
        </w:rPr>
        <w:t>concurrent</w:t>
      </w:r>
      <w:r w:rsidRPr="00DC134A">
        <w:rPr>
          <w:rFonts w:ascii="Times New Roman" w:hAnsi="Times New Roman"/>
          <w:sz w:val="24"/>
          <w:szCs w:val="24"/>
        </w:rPr>
        <w:t xml:space="preserve"> T2DM and ASCVD. Moreover, we identified not only the characteristics of the patients but also the factors influencing the use of SGLT2i and GLP1RA.    </w:t>
      </w:r>
    </w:p>
    <w:p w:rsidR="009641A1" w:rsidRPr="00DC134A" w:rsidRDefault="009641A1" w:rsidP="00CA09E9">
      <w:pPr>
        <w:widowControl/>
        <w:wordWrap/>
        <w:autoSpaceDE/>
        <w:autoSpaceDN/>
        <w:spacing w:line="480" w:lineRule="auto"/>
        <w:jc w:val="left"/>
        <w:rPr>
          <w:rFonts w:ascii="Times New Roman" w:hAnsi="Times New Roman"/>
          <w:b/>
          <w:sz w:val="28"/>
        </w:rPr>
      </w:pPr>
      <w:r w:rsidRPr="00DC134A">
        <w:rPr>
          <w:rFonts w:ascii="Times New Roman" w:hAnsi="Times New Roman"/>
          <w:b/>
          <w:sz w:val="28"/>
        </w:rPr>
        <w:t>Conclusions</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In patients with T2DM and ASCVD, although the utilization of SGLT2i and GLP1RA </w:t>
      </w:r>
      <w:r>
        <w:rPr>
          <w:rFonts w:ascii="Times New Roman" w:hAnsi="Times New Roman"/>
          <w:sz w:val="24"/>
          <w:szCs w:val="24"/>
        </w:rPr>
        <w:t>increased continually</w:t>
      </w:r>
      <w:r w:rsidRPr="00DC134A">
        <w:rPr>
          <w:rFonts w:ascii="Times New Roman" w:hAnsi="Times New Roman"/>
          <w:sz w:val="24"/>
          <w:szCs w:val="24"/>
        </w:rPr>
        <w:t xml:space="preserve"> during the study period, 88.35 % of patients did not receive these agents even in 2020. We identified disparities in the use of SGLT2i and GLP1RA according to </w:t>
      </w:r>
      <w:r>
        <w:rPr>
          <w:rFonts w:ascii="Times New Roman" w:hAnsi="Times New Roman"/>
          <w:sz w:val="24"/>
          <w:szCs w:val="24"/>
        </w:rPr>
        <w:t>patients’ characteristics and physician specialties</w:t>
      </w:r>
      <w:r w:rsidRPr="00DC134A">
        <w:rPr>
          <w:rFonts w:ascii="Times New Roman" w:hAnsi="Times New Roman"/>
          <w:sz w:val="24"/>
          <w:szCs w:val="24"/>
        </w:rPr>
        <w:t xml:space="preserve">. Further efforts to eliminate barriers to the use of these agents are needed to enhance their clinical benefits </w:t>
      </w:r>
      <w:r>
        <w:rPr>
          <w:rFonts w:ascii="Times New Roman" w:hAnsi="Times New Roman"/>
          <w:sz w:val="24"/>
          <w:szCs w:val="24"/>
        </w:rPr>
        <w:t xml:space="preserve">by improving access in </w:t>
      </w:r>
      <w:r w:rsidRPr="00DC134A">
        <w:rPr>
          <w:rFonts w:ascii="Times New Roman" w:hAnsi="Times New Roman"/>
          <w:sz w:val="24"/>
          <w:szCs w:val="24"/>
        </w:rPr>
        <w:t xml:space="preserve">high-risk patients.   </w:t>
      </w:r>
    </w:p>
    <w:p w:rsidR="009641A1" w:rsidRPr="00DC134A" w:rsidRDefault="009641A1" w:rsidP="00DC134A">
      <w:pPr>
        <w:widowControl/>
        <w:wordWrap/>
        <w:autoSpaceDE/>
        <w:autoSpaceDN/>
        <w:spacing w:line="480" w:lineRule="auto"/>
        <w:ind w:firstLineChars="100" w:firstLine="240"/>
        <w:rPr>
          <w:rFonts w:ascii="Times New Roman" w:hAnsi="Times New Roman"/>
          <w:sz w:val="24"/>
          <w:szCs w:val="24"/>
        </w:rPr>
      </w:pPr>
    </w:p>
    <w:p w:rsidR="009641A1" w:rsidRPr="00DC134A" w:rsidRDefault="009641A1" w:rsidP="004F35CD">
      <w:pPr>
        <w:pStyle w:val="ad"/>
        <w:spacing w:line="480" w:lineRule="auto"/>
        <w:rPr>
          <w:rFonts w:ascii="Times New Roman" w:eastAsia="맑은 고딕" w:hAnsi="Times New Roman" w:cs="Times New Roman"/>
          <w:color w:val="auto"/>
          <w:sz w:val="28"/>
          <w:szCs w:val="28"/>
          <w:shd w:val="clear" w:color="auto" w:fill="FFFFFF"/>
        </w:rPr>
      </w:pPr>
      <w:r w:rsidRPr="00DC134A">
        <w:rPr>
          <w:rFonts w:ascii="Times New Roman" w:eastAsia="맑은 고딕" w:hAnsi="Times New Roman" w:cs="Times New Roman"/>
          <w:b/>
          <w:bCs/>
          <w:color w:val="auto"/>
          <w:sz w:val="28"/>
          <w:szCs w:val="28"/>
          <w:shd w:val="clear" w:color="auto" w:fill="FFFFFF"/>
        </w:rPr>
        <w:t>Acknowledgments</w:t>
      </w:r>
    </w:p>
    <w:p w:rsidR="009641A1" w:rsidRPr="00DC134A" w:rsidRDefault="009641A1" w:rsidP="00DC134A">
      <w:pPr>
        <w:widowControl/>
        <w:wordWrap/>
        <w:autoSpaceDE/>
        <w:autoSpaceDN/>
        <w:snapToGrid w:val="0"/>
        <w:spacing w:line="480" w:lineRule="auto"/>
        <w:ind w:firstLineChars="100" w:firstLine="240"/>
        <w:jc w:val="left"/>
        <w:rPr>
          <w:rFonts w:ascii="Times New Roman" w:hAnsi="Times New Roman"/>
          <w:bCs/>
          <w:sz w:val="24"/>
          <w:szCs w:val="24"/>
          <w:shd w:val="clear" w:color="auto" w:fill="FFFFFF"/>
        </w:rPr>
      </w:pPr>
      <w:r w:rsidRPr="00DC134A">
        <w:rPr>
          <w:rFonts w:ascii="Times New Roman" w:hAnsi="Times New Roman"/>
          <w:bCs/>
          <w:sz w:val="24"/>
          <w:szCs w:val="24"/>
          <w:shd w:val="clear" w:color="auto" w:fill="FFFFFF"/>
        </w:rPr>
        <w:t xml:space="preserve">We used </w:t>
      </w:r>
      <w:r w:rsidRPr="00DC134A">
        <w:rPr>
          <w:rFonts w:ascii="Times New Roman" w:hAnsi="Times New Roman"/>
          <w:sz w:val="24"/>
          <w:szCs w:val="24"/>
        </w:rPr>
        <w:t xml:space="preserve">National Patient Sample data from the Korean Health Insurance Review and Assessment Service </w:t>
      </w:r>
      <w:r w:rsidRPr="00DC134A">
        <w:rPr>
          <w:rFonts w:ascii="Times New Roman" w:hAnsi="Times New Roman"/>
          <w:bCs/>
          <w:sz w:val="24"/>
          <w:szCs w:val="24"/>
          <w:shd w:val="clear" w:color="auto" w:fill="FFFFFF"/>
        </w:rPr>
        <w:t xml:space="preserve">(HIRA-NPS) from 2015 to 2020 </w:t>
      </w:r>
      <w:r w:rsidRPr="00DC134A">
        <w:rPr>
          <w:rFonts w:ascii="Times New Roman" w:hAnsi="Times New Roman"/>
          <w:sz w:val="24"/>
          <w:szCs w:val="24"/>
        </w:rPr>
        <w:t>(</w:t>
      </w:r>
      <w:r w:rsidRPr="00DC134A">
        <w:rPr>
          <w:rFonts w:ascii="Times New Roman" w:hAnsi="Times New Roman"/>
          <w:spacing w:val="-6"/>
          <w:sz w:val="24"/>
          <w:szCs w:val="24"/>
        </w:rPr>
        <w:t>S20230711004</w:t>
      </w:r>
      <w:r w:rsidRPr="00DC134A">
        <w:rPr>
          <w:rFonts w:ascii="Times New Roman" w:hAnsi="Times New Roman"/>
          <w:bCs/>
          <w:sz w:val="24"/>
          <w:szCs w:val="24"/>
          <w:shd w:val="clear" w:color="auto" w:fill="FFFFFF"/>
        </w:rPr>
        <w:t xml:space="preserve">); however, the study was not related to the </w:t>
      </w:r>
      <w:r w:rsidRPr="00DC134A">
        <w:rPr>
          <w:rFonts w:ascii="Times New Roman" w:hAnsi="Times New Roman"/>
          <w:sz w:val="24"/>
          <w:szCs w:val="24"/>
        </w:rPr>
        <w:t>Health Insurance Review and Assessment Service</w:t>
      </w:r>
      <w:r w:rsidRPr="00DC134A">
        <w:rPr>
          <w:rFonts w:ascii="Times New Roman" w:hAnsi="Times New Roman"/>
          <w:bCs/>
          <w:sz w:val="24"/>
          <w:szCs w:val="24"/>
          <w:shd w:val="clear" w:color="auto" w:fill="FFFFFF"/>
        </w:rPr>
        <w:t xml:space="preserve"> or </w:t>
      </w:r>
      <w:r w:rsidRPr="00DC134A">
        <w:rPr>
          <w:rFonts w:ascii="Times New Roman" w:hAnsi="Times New Roman"/>
          <w:bCs/>
          <w:sz w:val="24"/>
          <w:szCs w:val="24"/>
        </w:rPr>
        <w:t xml:space="preserve">the </w:t>
      </w:r>
      <w:r w:rsidRPr="00DC134A">
        <w:rPr>
          <w:rFonts w:ascii="Times New Roman" w:hAnsi="Times New Roman"/>
          <w:bCs/>
          <w:sz w:val="24"/>
          <w:szCs w:val="24"/>
          <w:shd w:val="clear" w:color="auto" w:fill="FFFFFF"/>
        </w:rPr>
        <w:t>Ministry of Health and Welfare.</w:t>
      </w:r>
    </w:p>
    <w:p w:rsidR="009641A1" w:rsidRPr="00DC134A" w:rsidRDefault="009641A1" w:rsidP="00DC134A">
      <w:pPr>
        <w:widowControl/>
        <w:wordWrap/>
        <w:autoSpaceDE/>
        <w:autoSpaceDN/>
        <w:snapToGrid w:val="0"/>
        <w:spacing w:line="480" w:lineRule="auto"/>
        <w:ind w:firstLineChars="100" w:firstLine="240"/>
        <w:jc w:val="left"/>
        <w:rPr>
          <w:rFonts w:ascii="Times New Roman" w:hAnsi="Times New Roman"/>
          <w:bCs/>
          <w:sz w:val="24"/>
          <w:szCs w:val="24"/>
          <w:shd w:val="clear" w:color="auto" w:fill="FFFFFF"/>
        </w:rPr>
      </w:pPr>
    </w:p>
    <w:p w:rsidR="009641A1" w:rsidRPr="00DC134A" w:rsidRDefault="009641A1" w:rsidP="004F35CD">
      <w:pPr>
        <w:widowControl/>
        <w:wordWrap/>
        <w:autoSpaceDE/>
        <w:autoSpaceDN/>
        <w:snapToGrid w:val="0"/>
        <w:spacing w:line="480" w:lineRule="auto"/>
        <w:jc w:val="left"/>
        <w:rPr>
          <w:rFonts w:ascii="Times New Roman" w:eastAsia="바탕체" w:hAnsi="Times New Roman"/>
          <w:b/>
          <w:kern w:val="0"/>
          <w:sz w:val="28"/>
          <w:szCs w:val="28"/>
        </w:rPr>
      </w:pPr>
      <w:r w:rsidRPr="00DC134A">
        <w:rPr>
          <w:rFonts w:ascii="Times New Roman" w:eastAsia="바탕체" w:hAnsi="Times New Roman"/>
          <w:b/>
          <w:kern w:val="0"/>
          <w:sz w:val="28"/>
          <w:szCs w:val="28"/>
        </w:rPr>
        <w:t>Author declarations</w:t>
      </w:r>
    </w:p>
    <w:p w:rsidR="009641A1" w:rsidRPr="00DC134A" w:rsidRDefault="009641A1" w:rsidP="00DC134A">
      <w:pPr>
        <w:widowControl/>
        <w:wordWrap/>
        <w:autoSpaceDE/>
        <w:autoSpaceDN/>
        <w:snapToGrid w:val="0"/>
        <w:spacing w:line="480" w:lineRule="auto"/>
        <w:ind w:firstLineChars="50" w:firstLine="140"/>
        <w:jc w:val="left"/>
        <w:rPr>
          <w:rFonts w:ascii="Times New Roman" w:eastAsia="바탕체" w:hAnsi="Times New Roman"/>
          <w:bCs/>
          <w:kern w:val="0"/>
          <w:sz w:val="28"/>
          <w:szCs w:val="28"/>
        </w:rPr>
      </w:pPr>
      <w:r w:rsidRPr="00DC134A">
        <w:rPr>
          <w:rFonts w:ascii="Times New Roman" w:eastAsia="바탕체" w:hAnsi="Times New Roman"/>
          <w:bCs/>
          <w:kern w:val="0"/>
          <w:sz w:val="28"/>
          <w:szCs w:val="28"/>
        </w:rPr>
        <w:t>Ethic</w:t>
      </w:r>
      <w:r>
        <w:rPr>
          <w:rFonts w:ascii="Times New Roman" w:eastAsia="바탕체" w:hAnsi="Times New Roman"/>
          <w:bCs/>
          <w:kern w:val="0"/>
          <w:sz w:val="28"/>
          <w:szCs w:val="28"/>
        </w:rPr>
        <w:t>al</w:t>
      </w:r>
      <w:r w:rsidRPr="00DC134A">
        <w:rPr>
          <w:rFonts w:ascii="Times New Roman" w:eastAsia="바탕체" w:hAnsi="Times New Roman"/>
          <w:bCs/>
          <w:kern w:val="0"/>
          <w:sz w:val="28"/>
          <w:szCs w:val="28"/>
        </w:rPr>
        <w:t xml:space="preserve"> Approval</w:t>
      </w:r>
    </w:p>
    <w:p w:rsidR="009641A1" w:rsidRPr="00DC134A" w:rsidRDefault="009641A1" w:rsidP="00DC134A">
      <w:pPr>
        <w:wordWrap/>
        <w:spacing w:line="480" w:lineRule="auto"/>
        <w:ind w:firstLineChars="100" w:firstLine="240"/>
        <w:rPr>
          <w:rFonts w:ascii="Times New Roman" w:hAnsi="Times New Roman"/>
          <w:sz w:val="24"/>
          <w:szCs w:val="24"/>
        </w:rPr>
      </w:pPr>
      <w:r w:rsidRPr="00DC134A">
        <w:rPr>
          <w:rFonts w:ascii="Times New Roman" w:hAnsi="Times New Roman"/>
          <w:sz w:val="24"/>
          <w:szCs w:val="24"/>
        </w:rPr>
        <w:t xml:space="preserve">The Institutional Review Board of Pusan National University approved this study (PNU IRB/2023_133_HR).  </w:t>
      </w:r>
    </w:p>
    <w:p w:rsidR="009641A1" w:rsidRPr="00DC134A" w:rsidRDefault="009641A1" w:rsidP="00DC134A">
      <w:pPr>
        <w:widowControl/>
        <w:wordWrap/>
        <w:autoSpaceDE/>
        <w:autoSpaceDN/>
        <w:snapToGrid w:val="0"/>
        <w:spacing w:line="480" w:lineRule="auto"/>
        <w:ind w:firstLineChars="50" w:firstLine="140"/>
        <w:jc w:val="left"/>
        <w:rPr>
          <w:rFonts w:ascii="Times New Roman" w:eastAsia="바탕체" w:hAnsi="Times New Roman"/>
          <w:kern w:val="0"/>
          <w:sz w:val="28"/>
          <w:szCs w:val="28"/>
        </w:rPr>
      </w:pPr>
      <w:r w:rsidRPr="00DC134A">
        <w:rPr>
          <w:rFonts w:ascii="Times New Roman" w:eastAsia="바탕체" w:hAnsi="Times New Roman"/>
          <w:kern w:val="0"/>
          <w:sz w:val="28"/>
          <w:szCs w:val="28"/>
        </w:rPr>
        <w:t>Consent to participate</w:t>
      </w:r>
    </w:p>
    <w:p w:rsidR="009641A1" w:rsidRPr="00DC134A" w:rsidRDefault="009641A1" w:rsidP="00DC134A">
      <w:pPr>
        <w:widowControl/>
        <w:wordWrap/>
        <w:autoSpaceDE/>
        <w:autoSpaceDN/>
        <w:snapToGrid w:val="0"/>
        <w:spacing w:line="480" w:lineRule="auto"/>
        <w:ind w:firstLineChars="50" w:firstLine="120"/>
        <w:jc w:val="left"/>
        <w:rPr>
          <w:rFonts w:ascii="Times New Roman" w:eastAsia="바탕체" w:hAnsi="Times New Roman"/>
          <w:kern w:val="0"/>
          <w:sz w:val="24"/>
          <w:szCs w:val="24"/>
        </w:rPr>
      </w:pPr>
      <w:r w:rsidRPr="00DC134A">
        <w:rPr>
          <w:rFonts w:ascii="Times New Roman" w:eastAsia="바탕체" w:hAnsi="Times New Roman"/>
          <w:kern w:val="0"/>
          <w:sz w:val="24"/>
          <w:szCs w:val="24"/>
        </w:rPr>
        <w:t>Not applicable</w:t>
      </w:r>
    </w:p>
    <w:p w:rsidR="009641A1" w:rsidRPr="00DC134A" w:rsidRDefault="009641A1" w:rsidP="00DC134A">
      <w:pPr>
        <w:widowControl/>
        <w:wordWrap/>
        <w:autoSpaceDE/>
        <w:autoSpaceDN/>
        <w:snapToGrid w:val="0"/>
        <w:spacing w:line="480" w:lineRule="auto"/>
        <w:ind w:firstLineChars="50" w:firstLine="140"/>
        <w:jc w:val="left"/>
        <w:rPr>
          <w:rFonts w:ascii="Times New Roman" w:eastAsia="바탕체" w:hAnsi="Times New Roman"/>
          <w:kern w:val="0"/>
          <w:sz w:val="28"/>
          <w:szCs w:val="28"/>
        </w:rPr>
      </w:pPr>
      <w:r w:rsidRPr="00DC134A">
        <w:rPr>
          <w:rFonts w:ascii="Times New Roman" w:eastAsia="바탕체" w:hAnsi="Times New Roman"/>
          <w:kern w:val="0"/>
          <w:sz w:val="28"/>
          <w:szCs w:val="28"/>
        </w:rPr>
        <w:t>Consent to publish</w:t>
      </w:r>
    </w:p>
    <w:p w:rsidR="009641A1" w:rsidRPr="00DC134A" w:rsidRDefault="009641A1" w:rsidP="00DC134A">
      <w:pPr>
        <w:widowControl/>
        <w:wordWrap/>
        <w:autoSpaceDE/>
        <w:autoSpaceDN/>
        <w:snapToGrid w:val="0"/>
        <w:spacing w:line="480" w:lineRule="auto"/>
        <w:ind w:firstLineChars="50" w:firstLine="120"/>
        <w:jc w:val="left"/>
        <w:rPr>
          <w:rFonts w:ascii="Times New Roman" w:eastAsia="바탕체" w:hAnsi="Times New Roman"/>
          <w:kern w:val="0"/>
          <w:sz w:val="24"/>
          <w:szCs w:val="24"/>
        </w:rPr>
      </w:pPr>
      <w:r w:rsidRPr="00DC134A">
        <w:rPr>
          <w:rFonts w:ascii="Times New Roman" w:eastAsia="바탕체" w:hAnsi="Times New Roman"/>
          <w:kern w:val="0"/>
          <w:sz w:val="24"/>
          <w:szCs w:val="24"/>
        </w:rPr>
        <w:t>Not applicable</w:t>
      </w:r>
    </w:p>
    <w:p w:rsidR="009641A1" w:rsidRPr="00DC134A" w:rsidRDefault="009641A1" w:rsidP="00DC134A">
      <w:pPr>
        <w:widowControl/>
        <w:wordWrap/>
        <w:autoSpaceDE/>
        <w:autoSpaceDN/>
        <w:snapToGrid w:val="0"/>
        <w:spacing w:line="480" w:lineRule="auto"/>
        <w:ind w:firstLineChars="50" w:firstLine="140"/>
        <w:jc w:val="left"/>
        <w:rPr>
          <w:rFonts w:ascii="Times New Roman" w:eastAsia="바탕체" w:hAnsi="Times New Roman"/>
          <w:kern w:val="0"/>
          <w:sz w:val="28"/>
          <w:szCs w:val="28"/>
        </w:rPr>
      </w:pPr>
      <w:r w:rsidRPr="00DC134A">
        <w:rPr>
          <w:rFonts w:ascii="Times New Roman" w:eastAsia="바탕체" w:hAnsi="Times New Roman"/>
          <w:kern w:val="0"/>
          <w:sz w:val="28"/>
          <w:szCs w:val="28"/>
        </w:rPr>
        <w:t>Competing interests</w:t>
      </w:r>
    </w:p>
    <w:p w:rsidR="009641A1" w:rsidRPr="00DC134A" w:rsidRDefault="009641A1" w:rsidP="00DC134A">
      <w:pPr>
        <w:widowControl/>
        <w:wordWrap/>
        <w:autoSpaceDE/>
        <w:autoSpaceDN/>
        <w:snapToGrid w:val="0"/>
        <w:spacing w:line="480" w:lineRule="auto"/>
        <w:ind w:firstLineChars="50" w:firstLine="120"/>
        <w:jc w:val="left"/>
        <w:rPr>
          <w:rFonts w:ascii="Times New Roman" w:hAnsi="Times New Roman"/>
        </w:rPr>
      </w:pPr>
      <w:r w:rsidRPr="00DC134A">
        <w:rPr>
          <w:rFonts w:ascii="Times New Roman" w:eastAsia="바탕체" w:hAnsi="Times New Roman"/>
          <w:kern w:val="0"/>
          <w:sz w:val="24"/>
          <w:szCs w:val="24"/>
        </w:rPr>
        <w:t>The authors declare no conflict of interest associated with the research, authorship, or publication of this article.</w:t>
      </w:r>
      <w:r w:rsidRPr="00DC134A">
        <w:rPr>
          <w:rFonts w:ascii="Times New Roman" w:hAnsi="Times New Roman"/>
        </w:rPr>
        <w:t xml:space="preserve"> </w:t>
      </w:r>
    </w:p>
    <w:p w:rsidR="009641A1" w:rsidRPr="00DC134A" w:rsidRDefault="009641A1" w:rsidP="00DC134A">
      <w:pPr>
        <w:widowControl/>
        <w:wordWrap/>
        <w:autoSpaceDE/>
        <w:autoSpaceDN/>
        <w:snapToGrid w:val="0"/>
        <w:spacing w:line="480" w:lineRule="auto"/>
        <w:ind w:firstLineChars="50" w:firstLine="140"/>
        <w:jc w:val="left"/>
        <w:rPr>
          <w:rFonts w:ascii="Times New Roman" w:eastAsia="바탕체" w:hAnsi="Times New Roman"/>
          <w:bCs/>
          <w:kern w:val="0"/>
          <w:sz w:val="28"/>
          <w:szCs w:val="28"/>
        </w:rPr>
      </w:pPr>
      <w:r w:rsidRPr="00DC134A">
        <w:rPr>
          <w:rFonts w:ascii="Times New Roman" w:eastAsia="바탕체" w:hAnsi="Times New Roman"/>
          <w:bCs/>
          <w:kern w:val="0"/>
          <w:sz w:val="28"/>
          <w:szCs w:val="28"/>
        </w:rPr>
        <w:t xml:space="preserve">Authors' contributions </w:t>
      </w:r>
    </w:p>
    <w:p w:rsidR="009641A1" w:rsidRPr="00DC134A" w:rsidRDefault="009641A1" w:rsidP="00DC134A">
      <w:pPr>
        <w:widowControl/>
        <w:wordWrap/>
        <w:autoSpaceDE/>
        <w:autoSpaceDN/>
        <w:snapToGrid w:val="0"/>
        <w:spacing w:line="480" w:lineRule="auto"/>
        <w:ind w:firstLineChars="50" w:firstLine="120"/>
        <w:jc w:val="left"/>
        <w:rPr>
          <w:rFonts w:ascii="Times New Roman" w:eastAsia="바탕체" w:hAnsi="Times New Roman"/>
          <w:kern w:val="0"/>
          <w:sz w:val="24"/>
          <w:szCs w:val="24"/>
        </w:rPr>
      </w:pPr>
      <w:r>
        <w:rPr>
          <w:rFonts w:ascii="Times New Roman" w:eastAsia="바탕체" w:hAnsi="Times New Roman"/>
          <w:kern w:val="0"/>
          <w:sz w:val="24"/>
          <w:szCs w:val="24"/>
        </w:rPr>
        <w:t xml:space="preserve">YRE and NKJ </w:t>
      </w:r>
      <w:r w:rsidRPr="00DC134A">
        <w:rPr>
          <w:rFonts w:ascii="Times New Roman" w:eastAsia="바탕체" w:hAnsi="Times New Roman"/>
          <w:kern w:val="0"/>
          <w:sz w:val="24"/>
          <w:szCs w:val="24"/>
        </w:rPr>
        <w:t>conceived and designed the study; Y</w:t>
      </w:r>
      <w:r>
        <w:rPr>
          <w:rFonts w:ascii="Times New Roman" w:eastAsia="바탕체" w:hAnsi="Times New Roman"/>
          <w:kern w:val="0"/>
          <w:sz w:val="24"/>
          <w:szCs w:val="24"/>
        </w:rPr>
        <w:t>R</w:t>
      </w:r>
      <w:r w:rsidRPr="00DC134A">
        <w:rPr>
          <w:rFonts w:ascii="Times New Roman" w:eastAsia="바탕체" w:hAnsi="Times New Roman"/>
          <w:kern w:val="0"/>
          <w:sz w:val="24"/>
          <w:szCs w:val="24"/>
        </w:rPr>
        <w:t>E, HJ, and S</w:t>
      </w:r>
      <w:r>
        <w:rPr>
          <w:rFonts w:ascii="Times New Roman" w:eastAsia="바탕체" w:hAnsi="Times New Roman"/>
          <w:kern w:val="0"/>
          <w:sz w:val="24"/>
          <w:szCs w:val="24"/>
        </w:rPr>
        <w:t>E</w:t>
      </w:r>
      <w:r w:rsidRPr="00DC134A">
        <w:rPr>
          <w:rFonts w:ascii="Times New Roman" w:eastAsia="바탕체" w:hAnsi="Times New Roman"/>
          <w:kern w:val="0"/>
          <w:sz w:val="24"/>
          <w:szCs w:val="24"/>
        </w:rPr>
        <w:t>C performed the analysis; YE first drafted the manuscript; each author contributed to drafting the article and endorsed the final version for submission to publication.</w:t>
      </w:r>
    </w:p>
    <w:p w:rsidR="009641A1" w:rsidRPr="00DC134A" w:rsidRDefault="009641A1" w:rsidP="00DC134A">
      <w:pPr>
        <w:widowControl/>
        <w:wordWrap/>
        <w:autoSpaceDE/>
        <w:autoSpaceDN/>
        <w:snapToGrid w:val="0"/>
        <w:spacing w:line="480" w:lineRule="auto"/>
        <w:ind w:firstLineChars="50" w:firstLine="140"/>
        <w:jc w:val="left"/>
        <w:rPr>
          <w:rFonts w:ascii="Times New Roman" w:hAnsi="Times New Roman"/>
          <w:sz w:val="24"/>
          <w:szCs w:val="28"/>
        </w:rPr>
      </w:pPr>
      <w:r w:rsidRPr="00DC134A">
        <w:rPr>
          <w:rFonts w:ascii="Times New Roman" w:hAnsi="Times New Roman"/>
          <w:sz w:val="28"/>
          <w:szCs w:val="28"/>
          <w:shd w:val="clear" w:color="auto" w:fill="FFFFFF"/>
        </w:rPr>
        <w:t>Funding</w:t>
      </w:r>
      <w:r w:rsidRPr="00DC134A">
        <w:rPr>
          <w:rFonts w:ascii="Times New Roman" w:hAnsi="Times New Roman"/>
          <w:sz w:val="24"/>
          <w:szCs w:val="28"/>
        </w:rPr>
        <w:t xml:space="preserve"> </w:t>
      </w:r>
    </w:p>
    <w:p w:rsidR="009641A1" w:rsidRPr="00DC134A" w:rsidRDefault="009641A1" w:rsidP="00DC134A">
      <w:pPr>
        <w:widowControl/>
        <w:wordWrap/>
        <w:autoSpaceDE/>
        <w:autoSpaceDN/>
        <w:snapToGrid w:val="0"/>
        <w:spacing w:line="480" w:lineRule="auto"/>
        <w:ind w:firstLineChars="50" w:firstLine="120"/>
        <w:jc w:val="left"/>
        <w:rPr>
          <w:rFonts w:ascii="Times New Roman" w:hAnsi="Times New Roman"/>
          <w:sz w:val="24"/>
          <w:szCs w:val="28"/>
        </w:rPr>
      </w:pPr>
      <w:r w:rsidRPr="00DC134A">
        <w:rPr>
          <w:rFonts w:ascii="Times New Roman" w:hAnsi="Times New Roman"/>
          <w:sz w:val="24"/>
          <w:szCs w:val="28"/>
        </w:rPr>
        <w:t>No financial support was received for the authors' research, authorship, or publication of this article.</w:t>
      </w:r>
    </w:p>
    <w:p w:rsidR="009641A1" w:rsidRPr="00DC134A" w:rsidRDefault="009641A1" w:rsidP="00DC134A">
      <w:pPr>
        <w:widowControl/>
        <w:wordWrap/>
        <w:autoSpaceDE/>
        <w:autoSpaceDN/>
        <w:snapToGrid w:val="0"/>
        <w:spacing w:line="480" w:lineRule="auto"/>
        <w:ind w:firstLineChars="50" w:firstLine="140"/>
        <w:jc w:val="left"/>
        <w:rPr>
          <w:rFonts w:ascii="Times New Roman" w:hAnsi="Times New Roman"/>
          <w:sz w:val="24"/>
          <w:szCs w:val="28"/>
        </w:rPr>
      </w:pPr>
      <w:r w:rsidRPr="00DC134A">
        <w:rPr>
          <w:rFonts w:ascii="Times New Roman" w:hAnsi="Times New Roman"/>
          <w:sz w:val="28"/>
          <w:szCs w:val="28"/>
          <w:shd w:val="clear" w:color="auto" w:fill="FFFFFF"/>
        </w:rPr>
        <w:lastRenderedPageBreak/>
        <w:t>Data availability</w:t>
      </w:r>
      <w:r w:rsidRPr="00DC134A">
        <w:rPr>
          <w:rFonts w:ascii="Times New Roman" w:hAnsi="Times New Roman"/>
          <w:sz w:val="24"/>
          <w:szCs w:val="28"/>
        </w:rPr>
        <w:t xml:space="preserve"> </w:t>
      </w:r>
    </w:p>
    <w:p w:rsidR="009641A1" w:rsidRPr="006832FB" w:rsidRDefault="009641A1" w:rsidP="006832FB">
      <w:pPr>
        <w:widowControl/>
        <w:wordWrap/>
        <w:autoSpaceDE/>
        <w:autoSpaceDN/>
        <w:snapToGrid w:val="0"/>
        <w:spacing w:line="480" w:lineRule="auto"/>
        <w:ind w:firstLineChars="50" w:firstLine="120"/>
        <w:jc w:val="left"/>
        <w:rPr>
          <w:rFonts w:ascii="Times New Roman" w:hAnsi="Times New Roman"/>
          <w:sz w:val="24"/>
          <w:szCs w:val="28"/>
        </w:rPr>
      </w:pPr>
      <w:r w:rsidRPr="00DC134A">
        <w:rPr>
          <w:rFonts w:ascii="Times New Roman" w:hAnsi="Times New Roman"/>
          <w:sz w:val="24"/>
          <w:szCs w:val="28"/>
        </w:rPr>
        <w:t>HIRA-NPS data were used in this study and were not permitted to be shared. Raw data were obtained with permission from the Health Insurance Review and Assessment Service of Korea (</w:t>
      </w:r>
      <w:hyperlink r:id="rId6" w:history="1">
        <w:r w:rsidRPr="00DC134A">
          <w:rPr>
            <w:rStyle w:val="ac"/>
            <w:rFonts w:ascii="Times New Roman" w:hAnsi="Times New Roman"/>
            <w:sz w:val="24"/>
            <w:szCs w:val="28"/>
          </w:rPr>
          <w:t>http://opendata.hira.or.kr</w:t>
        </w:r>
      </w:hyperlink>
      <w:r w:rsidRPr="00DC134A">
        <w:rPr>
          <w:rFonts w:ascii="Times New Roman" w:hAnsi="Times New Roman"/>
          <w:sz w:val="24"/>
          <w:szCs w:val="28"/>
        </w:rPr>
        <w:t xml:space="preserve">). </w:t>
      </w:r>
    </w:p>
    <w:bookmarkEnd w:id="4"/>
    <w:p w:rsidR="009641A1" w:rsidRDefault="009641A1" w:rsidP="004A1D8A">
      <w:pPr>
        <w:wordWrap/>
        <w:spacing w:line="480" w:lineRule="auto"/>
        <w:jc w:val="center"/>
        <w:rPr>
          <w:rFonts w:ascii="Times New Roman" w:hAnsi="Times New Roman"/>
          <w:b/>
          <w:sz w:val="24"/>
        </w:rPr>
      </w:pPr>
      <w:r>
        <w:rPr>
          <w:rFonts w:ascii="Times New Roman" w:hAnsi="Times New Roman"/>
          <w:b/>
          <w:sz w:val="24"/>
        </w:rPr>
        <w:br w:type="page"/>
      </w:r>
    </w:p>
    <w:p w:rsidR="009641A1" w:rsidRPr="00DC134A" w:rsidRDefault="009641A1" w:rsidP="004A1D8A">
      <w:pPr>
        <w:wordWrap/>
        <w:spacing w:line="480" w:lineRule="auto"/>
        <w:jc w:val="center"/>
        <w:rPr>
          <w:rFonts w:ascii="Times New Roman" w:hAnsi="Times New Roman"/>
          <w:b/>
          <w:sz w:val="24"/>
        </w:rPr>
      </w:pPr>
      <w:r w:rsidRPr="00DC134A">
        <w:rPr>
          <w:rFonts w:ascii="Times New Roman" w:hAnsi="Times New Roman"/>
          <w:b/>
          <w:sz w:val="24"/>
        </w:rPr>
        <w:lastRenderedPageBreak/>
        <w:t>Reference</w:t>
      </w:r>
    </w:p>
    <w:p w:rsidR="009641A1" w:rsidRPr="00FD7743" w:rsidRDefault="009641A1" w:rsidP="00FD7743">
      <w:pPr>
        <w:pStyle w:val="EndNoteBibliography"/>
        <w:spacing w:after="0"/>
        <w:ind w:left="720" w:hanging="720"/>
      </w:pPr>
      <w:r w:rsidRPr="00FD7743">
        <w:t>1.</w:t>
      </w:r>
      <w:r w:rsidRPr="00FD7743">
        <w:tab/>
        <w:t xml:space="preserve">Lovic D, Piperidou A, Zografou I, Grassos H, Pittaras A, Manolis A. The growing epidemic of diabetes mellitus. </w:t>
      </w:r>
      <w:r w:rsidRPr="00FD7743">
        <w:rPr>
          <w:i/>
        </w:rPr>
        <w:t xml:space="preserve">Current vascular pharmacology. </w:t>
      </w:r>
      <w:r w:rsidRPr="00FD7743">
        <w:t>2020;18(2):104-109.</w:t>
      </w:r>
    </w:p>
    <w:p w:rsidR="009641A1" w:rsidRPr="00FD7743" w:rsidRDefault="009641A1" w:rsidP="00FD7743">
      <w:pPr>
        <w:pStyle w:val="EndNoteBibliography"/>
        <w:spacing w:after="0"/>
        <w:ind w:left="720" w:hanging="720"/>
      </w:pPr>
      <w:r w:rsidRPr="00FD7743">
        <w:t>2.</w:t>
      </w:r>
      <w:r w:rsidRPr="00FD7743">
        <w:tab/>
        <w:t xml:space="preserve">Khan MAB, Hashim MJ, King JK, Govender RD, Mustafa H, Al Kaabi J. Epidemiology of type 2 diabetes–global burden of disease and forecasted trends. </w:t>
      </w:r>
      <w:r w:rsidRPr="00FD7743">
        <w:rPr>
          <w:i/>
        </w:rPr>
        <w:t xml:space="preserve">Journal of epidemiology and global health. </w:t>
      </w:r>
      <w:r w:rsidRPr="00FD7743">
        <w:t>2020;10(1):107.</w:t>
      </w:r>
    </w:p>
    <w:p w:rsidR="009641A1" w:rsidRPr="00FD7743" w:rsidRDefault="009641A1" w:rsidP="00FD7743">
      <w:pPr>
        <w:pStyle w:val="EndNoteBibliography"/>
        <w:spacing w:after="0"/>
        <w:ind w:left="720" w:hanging="720"/>
      </w:pPr>
      <w:r w:rsidRPr="00FD7743">
        <w:t>3.</w:t>
      </w:r>
      <w:r w:rsidRPr="00FD7743">
        <w:tab/>
        <w:t xml:space="preserve">Shah AD, Langenberg C, Rapsomaniki E, et al. Type 2 diabetes and incidence of cardiovascular diseases: a cohort study in 1· 9 million people. </w:t>
      </w:r>
      <w:r w:rsidRPr="00FD7743">
        <w:rPr>
          <w:i/>
        </w:rPr>
        <w:t xml:space="preserve">The lancet Diabetes &amp; endocrinology. </w:t>
      </w:r>
      <w:r w:rsidRPr="00FD7743">
        <w:t>2015;3(2):105-113.</w:t>
      </w:r>
    </w:p>
    <w:p w:rsidR="009641A1" w:rsidRPr="00FD7743" w:rsidRDefault="009641A1" w:rsidP="00FD7743">
      <w:pPr>
        <w:pStyle w:val="EndNoteBibliography"/>
        <w:spacing w:after="0"/>
        <w:ind w:left="720" w:hanging="720"/>
      </w:pPr>
      <w:r w:rsidRPr="00FD7743">
        <w:t>4.</w:t>
      </w:r>
      <w:r w:rsidRPr="00FD7743">
        <w:tab/>
        <w:t xml:space="preserve">Dal Canto E, Ceriello A, Rydén L, et al. Diabetes as a cardiovascular risk factor: An overview of global trends of macro and micro vascular complications. </w:t>
      </w:r>
      <w:r w:rsidRPr="00FD7743">
        <w:rPr>
          <w:i/>
        </w:rPr>
        <w:t xml:space="preserve">European journal of preventive cardiology. </w:t>
      </w:r>
      <w:r w:rsidRPr="00FD7743">
        <w:t>2019;26(2_suppl):25-32.</w:t>
      </w:r>
    </w:p>
    <w:p w:rsidR="009641A1" w:rsidRPr="00FD7743" w:rsidRDefault="009641A1" w:rsidP="00FD7743">
      <w:pPr>
        <w:pStyle w:val="EndNoteBibliography"/>
        <w:spacing w:after="0"/>
        <w:ind w:left="720" w:hanging="720"/>
      </w:pPr>
      <w:r w:rsidRPr="00FD7743">
        <w:t>5.</w:t>
      </w:r>
      <w:r w:rsidRPr="00FD7743">
        <w:tab/>
        <w:t xml:space="preserve">Branch M, German C, Bertoni A, Yeboah J. Incremental risk of cardiovascular disease and/or chronic kidney disease for future ASCVD and mortality in patients with type 2 diabetes mellitus: ACCORD trial. </w:t>
      </w:r>
      <w:r w:rsidRPr="00FD7743">
        <w:rPr>
          <w:i/>
        </w:rPr>
        <w:t xml:space="preserve">Journal of Diabetes and its Complications. </w:t>
      </w:r>
      <w:r w:rsidRPr="00FD7743">
        <w:t>2019;33(7):468-472.</w:t>
      </w:r>
    </w:p>
    <w:p w:rsidR="009641A1" w:rsidRPr="00FD7743" w:rsidRDefault="009641A1" w:rsidP="00FD7743">
      <w:pPr>
        <w:pStyle w:val="EndNoteBibliography"/>
        <w:spacing w:after="0"/>
        <w:ind w:left="720" w:hanging="720"/>
      </w:pPr>
      <w:r w:rsidRPr="00FD7743">
        <w:t>6.</w:t>
      </w:r>
      <w:r w:rsidRPr="00FD7743">
        <w:tab/>
        <w:t xml:space="preserve">Zinman B, Wanner C, Lachin JM, et al. Empagliflozin, cardiovascular outcomes, and mortality in type 2 diabetes. </w:t>
      </w:r>
      <w:r w:rsidRPr="00FD7743">
        <w:rPr>
          <w:i/>
        </w:rPr>
        <w:t xml:space="preserve">New England Journal of Medicine. </w:t>
      </w:r>
      <w:r w:rsidRPr="00FD7743">
        <w:t>2015;373(22):2117-2128.</w:t>
      </w:r>
    </w:p>
    <w:p w:rsidR="009641A1" w:rsidRPr="00FD7743" w:rsidRDefault="009641A1" w:rsidP="00FD7743">
      <w:pPr>
        <w:pStyle w:val="EndNoteBibliography"/>
        <w:spacing w:after="0"/>
        <w:ind w:left="720" w:hanging="720"/>
      </w:pPr>
      <w:r w:rsidRPr="00FD7743">
        <w:t>7.</w:t>
      </w:r>
      <w:r w:rsidRPr="00FD7743">
        <w:tab/>
        <w:t xml:space="preserve">McMurray JJ, Solomon SD, Inzucchi SE, et al. Dapagliflozin in patients with heart failure and reduced ejection fraction. </w:t>
      </w:r>
      <w:r w:rsidRPr="00FD7743">
        <w:rPr>
          <w:i/>
        </w:rPr>
        <w:t xml:space="preserve">New England Journal of Medicine. </w:t>
      </w:r>
      <w:r w:rsidRPr="00FD7743">
        <w:t>2019;381(21):1995-2008.</w:t>
      </w:r>
    </w:p>
    <w:p w:rsidR="009641A1" w:rsidRPr="00FD7743" w:rsidRDefault="009641A1" w:rsidP="00FD7743">
      <w:pPr>
        <w:pStyle w:val="EndNoteBibliography"/>
        <w:spacing w:after="0"/>
        <w:ind w:left="720" w:hanging="720"/>
      </w:pPr>
      <w:r w:rsidRPr="00FD7743">
        <w:t>8.</w:t>
      </w:r>
      <w:r w:rsidRPr="00FD7743">
        <w:tab/>
        <w:t xml:space="preserve">Wiviott SD, Raz I, Bonaca MP, et al. Dapagliflozin and cardiovascular outcomes in type 2 diabetes. </w:t>
      </w:r>
      <w:r w:rsidRPr="00FD7743">
        <w:rPr>
          <w:i/>
        </w:rPr>
        <w:t xml:space="preserve">New England Journal of Medicine. </w:t>
      </w:r>
      <w:r w:rsidRPr="00FD7743">
        <w:t>2019;380(4):347-357.</w:t>
      </w:r>
    </w:p>
    <w:p w:rsidR="009641A1" w:rsidRPr="00FD7743" w:rsidRDefault="009641A1" w:rsidP="00FD7743">
      <w:pPr>
        <w:pStyle w:val="EndNoteBibliography"/>
        <w:spacing w:after="0"/>
        <w:ind w:left="720" w:hanging="720"/>
      </w:pPr>
      <w:r w:rsidRPr="00FD7743">
        <w:t>9.</w:t>
      </w:r>
      <w:r w:rsidRPr="00FD7743">
        <w:tab/>
        <w:t xml:space="preserve">Cannon CP, Pratley R, Dagogo-Jack S, et al. Cardiovascular outcomes with ertugliflozin in type 2 diabetes. </w:t>
      </w:r>
      <w:r w:rsidRPr="00FD7743">
        <w:rPr>
          <w:i/>
        </w:rPr>
        <w:t xml:space="preserve">New England Journal of Medicine. </w:t>
      </w:r>
      <w:r w:rsidRPr="00FD7743">
        <w:t>2020;383(15):1425-1435.</w:t>
      </w:r>
    </w:p>
    <w:p w:rsidR="009641A1" w:rsidRPr="00FD7743" w:rsidRDefault="009641A1" w:rsidP="00FD7743">
      <w:pPr>
        <w:pStyle w:val="EndNoteBibliography"/>
        <w:spacing w:after="0"/>
        <w:ind w:left="720" w:hanging="720"/>
      </w:pPr>
      <w:r w:rsidRPr="00FD7743">
        <w:t>10.</w:t>
      </w:r>
      <w:r w:rsidRPr="00FD7743">
        <w:tab/>
        <w:t xml:space="preserve">Marso SP, Bain SC, Consoli A, et al. Semaglutide and cardiovascular outcomes in patients with type 2 diabetes. </w:t>
      </w:r>
      <w:r w:rsidRPr="00FD7743">
        <w:rPr>
          <w:i/>
        </w:rPr>
        <w:t xml:space="preserve">New England Journal of Medicine. </w:t>
      </w:r>
      <w:r w:rsidRPr="00FD7743">
        <w:t>2016;375(19):1834-1844.</w:t>
      </w:r>
    </w:p>
    <w:p w:rsidR="009641A1" w:rsidRPr="00FD7743" w:rsidRDefault="009641A1" w:rsidP="00FD7743">
      <w:pPr>
        <w:pStyle w:val="EndNoteBibliography"/>
        <w:spacing w:after="0"/>
        <w:ind w:left="720" w:hanging="720"/>
      </w:pPr>
      <w:r w:rsidRPr="00FD7743">
        <w:t>11.</w:t>
      </w:r>
      <w:r w:rsidRPr="00FD7743">
        <w:tab/>
        <w:t xml:space="preserve">Gerstein HC, Colhoun HM, Dagenais GR, et al. Dulaglutide and cardiovascular outcomes in type 2 diabetes (REWIND): a double-blind, randomised placebo-controlled trial. </w:t>
      </w:r>
      <w:r w:rsidRPr="00FD7743">
        <w:rPr>
          <w:i/>
        </w:rPr>
        <w:t xml:space="preserve">Lancet. </w:t>
      </w:r>
      <w:r w:rsidRPr="00FD7743">
        <w:t>2019;394(10193):121-130.</w:t>
      </w:r>
    </w:p>
    <w:p w:rsidR="009641A1" w:rsidRPr="00FD7743" w:rsidRDefault="009641A1" w:rsidP="00FD7743">
      <w:pPr>
        <w:pStyle w:val="EndNoteBibliography"/>
        <w:spacing w:after="0"/>
        <w:ind w:left="720" w:hanging="720"/>
      </w:pPr>
      <w:r w:rsidRPr="00FD7743">
        <w:t>12.</w:t>
      </w:r>
      <w:r w:rsidRPr="00FD7743">
        <w:tab/>
        <w:t xml:space="preserve">Marso SP, Daniels GH, Brown-Frandsen K, et al. Liraglutide and cardiovascular outcomes in type 2 diabetes. </w:t>
      </w:r>
      <w:r w:rsidRPr="00FD7743">
        <w:rPr>
          <w:i/>
        </w:rPr>
        <w:t xml:space="preserve">New England Journal of Medicine. </w:t>
      </w:r>
      <w:r w:rsidRPr="00FD7743">
        <w:t>2016;375(4):311-322.</w:t>
      </w:r>
    </w:p>
    <w:p w:rsidR="009641A1" w:rsidRPr="00FD7743" w:rsidRDefault="009641A1" w:rsidP="00FD7743">
      <w:pPr>
        <w:pStyle w:val="EndNoteBibliography"/>
        <w:spacing w:after="0"/>
        <w:ind w:left="720" w:hanging="720"/>
      </w:pPr>
      <w:r w:rsidRPr="00FD7743">
        <w:t>13.</w:t>
      </w:r>
      <w:r w:rsidRPr="00FD7743">
        <w:tab/>
        <w:t xml:space="preserve">Zelniker TA, Wiviott SD, Raz I, et al. Comparison of the effects of glucagon-like peptide receptor agonists and sodium-glucose cotransporter 2 inhibitors for prevention of major adverse cardiovascular and renal outcomes in type 2 diabetes mellitus: systematic review and meta-analysis of cardiovascular outcomes trials. </w:t>
      </w:r>
      <w:r w:rsidRPr="00FD7743">
        <w:rPr>
          <w:i/>
        </w:rPr>
        <w:t xml:space="preserve">Circulation. </w:t>
      </w:r>
      <w:r w:rsidRPr="00FD7743">
        <w:t>2019;139(17):2022-2031.</w:t>
      </w:r>
    </w:p>
    <w:p w:rsidR="009641A1" w:rsidRPr="00FD7743" w:rsidRDefault="009641A1" w:rsidP="00FD7743">
      <w:pPr>
        <w:pStyle w:val="EndNoteBibliography"/>
        <w:spacing w:after="0"/>
        <w:ind w:left="720" w:hanging="720"/>
      </w:pPr>
      <w:r w:rsidRPr="00FD7743">
        <w:t>14.</w:t>
      </w:r>
      <w:r w:rsidRPr="00FD7743">
        <w:tab/>
        <w:t xml:space="preserve">Zelniker TA, Wiviott SD, Raz I, et al. SGLT2 inhibitors for primary and secondary prevention of cardiovascular and renal outcomes in type 2 diabetes: a systematic review and meta-analysis of cardiovascular outcome trials. </w:t>
      </w:r>
      <w:r w:rsidRPr="00FD7743">
        <w:rPr>
          <w:i/>
        </w:rPr>
        <w:t xml:space="preserve">The Lancet. </w:t>
      </w:r>
      <w:r w:rsidRPr="00FD7743">
        <w:t>2019;393(10166):31-39.</w:t>
      </w:r>
    </w:p>
    <w:p w:rsidR="009641A1" w:rsidRPr="00FD7743" w:rsidRDefault="009641A1" w:rsidP="00FD7743">
      <w:pPr>
        <w:pStyle w:val="EndNoteBibliography"/>
        <w:spacing w:after="0"/>
        <w:ind w:left="720" w:hanging="720"/>
      </w:pPr>
      <w:r w:rsidRPr="00FD7743">
        <w:t>15.</w:t>
      </w:r>
      <w:r w:rsidRPr="00FD7743">
        <w:tab/>
        <w:t xml:space="preserve">Association AD. 9. Cardiovascular disease and risk management: standards of medical care in diabetes—2018. </w:t>
      </w:r>
      <w:r w:rsidRPr="00FD7743">
        <w:rPr>
          <w:i/>
        </w:rPr>
        <w:t xml:space="preserve">Diabetes care. </w:t>
      </w:r>
      <w:r w:rsidRPr="00FD7743">
        <w:t>2018;41(Supplement_1):S86-S104.</w:t>
      </w:r>
    </w:p>
    <w:p w:rsidR="009641A1" w:rsidRPr="00FD7743" w:rsidRDefault="009641A1" w:rsidP="00FD7743">
      <w:pPr>
        <w:pStyle w:val="EndNoteBibliography"/>
        <w:spacing w:after="0"/>
        <w:ind w:left="720" w:hanging="720"/>
      </w:pPr>
      <w:r w:rsidRPr="00FD7743">
        <w:t>16.</w:t>
      </w:r>
      <w:r w:rsidRPr="00FD7743">
        <w:tab/>
        <w:t xml:space="preserve">Davies MJ, D’Alessio DA, Fradkin J, et al. Management of hyperglycaemia in type 2 diabetes, 2018. A consensus report by the American Diabetes Association (ADA) and the European Association for the Study of Diabetes (EASD). </w:t>
      </w:r>
      <w:r w:rsidRPr="00FD7743">
        <w:rPr>
          <w:i/>
        </w:rPr>
        <w:t xml:space="preserve">Diabetologia. </w:t>
      </w:r>
      <w:r w:rsidRPr="00FD7743">
        <w:t>2018;61:2461-2498.</w:t>
      </w:r>
    </w:p>
    <w:p w:rsidR="009641A1" w:rsidRPr="00FD7743" w:rsidRDefault="009641A1" w:rsidP="00FD7743">
      <w:pPr>
        <w:pStyle w:val="EndNoteBibliography"/>
        <w:spacing w:after="0"/>
        <w:ind w:left="720" w:hanging="720"/>
      </w:pPr>
      <w:r w:rsidRPr="00FD7743">
        <w:t>17.</w:t>
      </w:r>
      <w:r w:rsidRPr="00FD7743">
        <w:tab/>
        <w:t xml:space="preserve">Kim MK, Ko SH, Kim BY, et al. 2019 Clinical Practice Guidelines for Type 2 Diabetes Mellitus in Korea. </w:t>
      </w:r>
      <w:r w:rsidRPr="00FD7743">
        <w:rPr>
          <w:i/>
        </w:rPr>
        <w:t xml:space="preserve">Diabetes Metab J. </w:t>
      </w:r>
      <w:r w:rsidRPr="00FD7743">
        <w:t>2019;43(4):398-406.</w:t>
      </w:r>
    </w:p>
    <w:p w:rsidR="009641A1" w:rsidRPr="00FD7743" w:rsidRDefault="009641A1" w:rsidP="00FD7743">
      <w:pPr>
        <w:pStyle w:val="EndNoteBibliography"/>
        <w:spacing w:after="0"/>
        <w:ind w:left="720" w:hanging="720"/>
      </w:pPr>
      <w:r w:rsidRPr="00FD7743">
        <w:t>18.</w:t>
      </w:r>
      <w:r w:rsidRPr="00FD7743">
        <w:tab/>
        <w:t xml:space="preserve">Mahtta D, Ramsey DJ, Lee MT, et al. Utilization rates of SGLT2 inhibitors and GLP-1 receptor agonists and their facility-level variation among patients with atherosclerotic cardiovascular disease and type 2 diabetes: insights from the Department of Veterans Affairs. </w:t>
      </w:r>
      <w:r w:rsidRPr="00FD7743">
        <w:rPr>
          <w:i/>
        </w:rPr>
        <w:t xml:space="preserve">Diabetes Care. </w:t>
      </w:r>
      <w:r w:rsidRPr="00FD7743">
        <w:t>2022;45(2):372-380.</w:t>
      </w:r>
    </w:p>
    <w:p w:rsidR="009641A1" w:rsidRPr="00FD7743" w:rsidRDefault="009641A1" w:rsidP="00FD7743">
      <w:pPr>
        <w:pStyle w:val="EndNoteBibliography"/>
        <w:spacing w:after="0"/>
        <w:ind w:left="720" w:hanging="720"/>
      </w:pPr>
      <w:r w:rsidRPr="00FD7743">
        <w:t>19.</w:t>
      </w:r>
      <w:r w:rsidRPr="00FD7743">
        <w:tab/>
        <w:t xml:space="preserve">Nanna MG, Kolkailah AA, Page C, Peterson ED, Navar AM. Use of sodium-glucose cotransporter 2 inhibitors and glucagonlike peptide-1 receptor agonists in patients with diabetes and cardiovascular disease in community practice. </w:t>
      </w:r>
      <w:r w:rsidRPr="00FD7743">
        <w:rPr>
          <w:i/>
        </w:rPr>
        <w:t xml:space="preserve">JAMA cardiology. </w:t>
      </w:r>
      <w:r w:rsidRPr="00FD7743">
        <w:t>2023;8(1):89-95.</w:t>
      </w:r>
    </w:p>
    <w:p w:rsidR="009641A1" w:rsidRPr="00FD7743" w:rsidRDefault="009641A1" w:rsidP="00FD7743">
      <w:pPr>
        <w:pStyle w:val="EndNoteBibliography"/>
        <w:spacing w:after="0"/>
        <w:ind w:left="720" w:hanging="720"/>
      </w:pPr>
      <w:r w:rsidRPr="00FD7743">
        <w:t>20.</w:t>
      </w:r>
      <w:r w:rsidRPr="00FD7743">
        <w:tab/>
        <w:t xml:space="preserve">Farmer RE, Beard I, Raza SI, et al. Prescribing in type 2 diabetes patients with and without cardiovascular disease history: a descriptive analysis in the UK CPRD. </w:t>
      </w:r>
      <w:r w:rsidRPr="00FD7743">
        <w:rPr>
          <w:i/>
        </w:rPr>
        <w:t xml:space="preserve">Clinical Therapeutics. </w:t>
      </w:r>
      <w:r w:rsidRPr="00FD7743">
        <w:lastRenderedPageBreak/>
        <w:t>2021;43(2):320-335.</w:t>
      </w:r>
    </w:p>
    <w:p w:rsidR="009641A1" w:rsidRPr="00FD7743" w:rsidRDefault="009641A1" w:rsidP="00FD7743">
      <w:pPr>
        <w:pStyle w:val="EndNoteBibliography"/>
        <w:spacing w:after="0"/>
        <w:ind w:left="720" w:hanging="720"/>
      </w:pPr>
      <w:r w:rsidRPr="00FD7743">
        <w:t>21.</w:t>
      </w:r>
      <w:r w:rsidRPr="00FD7743">
        <w:tab/>
        <w:t xml:space="preserve">Ozaki AF, Ko DT, Chong A, et al. Prescribing patterns and factors associated with sodium–glucose cotransporter-2 inhibitor prescribing in patients with diabetes mellitus and atherosclerotic cardiovascular disease. </w:t>
      </w:r>
      <w:r w:rsidRPr="00FD7743">
        <w:rPr>
          <w:i/>
        </w:rPr>
        <w:t xml:space="preserve">Canadian Medical Association Open Access Journal. </w:t>
      </w:r>
      <w:r w:rsidRPr="00FD7743">
        <w:t>2023;11(3):E494-E503.</w:t>
      </w:r>
    </w:p>
    <w:p w:rsidR="009641A1" w:rsidRPr="00FD7743" w:rsidRDefault="009641A1" w:rsidP="00FD7743">
      <w:pPr>
        <w:pStyle w:val="EndNoteBibliography"/>
        <w:spacing w:after="0"/>
        <w:ind w:left="720" w:hanging="720"/>
      </w:pPr>
      <w:r w:rsidRPr="00FD7743">
        <w:t>22.</w:t>
      </w:r>
      <w:r w:rsidRPr="00FD7743">
        <w:tab/>
        <w:t xml:space="preserve">Korayem GB, Alshaya OA, Alghamdi AA, et al. The prescribing pattern of sodium-glucose cotransporter-2 inhibitors and glucagon-like peptide-1 receptor agonists in patient with type two diabetes mellitus: A two-center retrospective cross-sectional study. </w:t>
      </w:r>
      <w:r w:rsidRPr="00FD7743">
        <w:rPr>
          <w:i/>
        </w:rPr>
        <w:t xml:space="preserve">Frontiers in Public Health. </w:t>
      </w:r>
      <w:r w:rsidRPr="00FD7743">
        <w:t>2022;10:1031306.</w:t>
      </w:r>
    </w:p>
    <w:p w:rsidR="009641A1" w:rsidRPr="00FD7743" w:rsidRDefault="009641A1" w:rsidP="00FD7743">
      <w:pPr>
        <w:pStyle w:val="EndNoteBibliography"/>
        <w:spacing w:after="0"/>
        <w:ind w:left="720" w:hanging="720"/>
      </w:pPr>
      <w:r w:rsidRPr="00FD7743">
        <w:t>23.</w:t>
      </w:r>
      <w:r w:rsidRPr="00FD7743">
        <w:tab/>
        <w:t xml:space="preserve">de Carvalho FS, de Brito Marques F, Lopes AE, Ferreira JL, Príncipe RM, Marques FDB. Underprescription of SGLT2i and GLP-1 RA: CAREPRO-T2D (Cardiorenal Protection in Type 2 Diabetes) Cross-Sectional Study. </w:t>
      </w:r>
      <w:r w:rsidRPr="00FD7743">
        <w:rPr>
          <w:i/>
        </w:rPr>
        <w:t xml:space="preserve">Cureus. </w:t>
      </w:r>
      <w:r w:rsidRPr="00FD7743">
        <w:t>2023;15(1).</w:t>
      </w:r>
    </w:p>
    <w:p w:rsidR="009641A1" w:rsidRPr="00FD7743" w:rsidRDefault="009641A1" w:rsidP="00FD7743">
      <w:pPr>
        <w:pStyle w:val="EndNoteBibliography"/>
        <w:spacing w:after="0"/>
        <w:ind w:left="720" w:hanging="720"/>
      </w:pPr>
      <w:r w:rsidRPr="00FD7743">
        <w:t>24.</w:t>
      </w:r>
      <w:r w:rsidRPr="00FD7743">
        <w:tab/>
        <w:t xml:space="preserve">Arnold SV, Tang F, Cooper A, et al. Global use of SGLT2 inhibitors and GLP-1 receptor agonists in type 2 diabetes. Results from DISCOVER. </w:t>
      </w:r>
      <w:r w:rsidRPr="00FD7743">
        <w:rPr>
          <w:i/>
        </w:rPr>
        <w:t xml:space="preserve">BMC Endocrine Disorders. </w:t>
      </w:r>
      <w:r w:rsidRPr="00FD7743">
        <w:t>2022;22(1):1-7.</w:t>
      </w:r>
    </w:p>
    <w:p w:rsidR="009641A1" w:rsidRPr="00FD7743" w:rsidRDefault="009641A1" w:rsidP="00FD7743">
      <w:pPr>
        <w:pStyle w:val="EndNoteBibliography"/>
        <w:spacing w:after="0"/>
        <w:ind w:left="720" w:hanging="720"/>
      </w:pPr>
      <w:r w:rsidRPr="00FD7743">
        <w:t>25.</w:t>
      </w:r>
      <w:r w:rsidRPr="00FD7743">
        <w:tab/>
        <w:t xml:space="preserve">Devineni D, Akbarpour M, Gong Y, Wong ND. Inadequate Use of Newer Treatments and Glycemic Control by Cardiovascular Risk and Sociodemographic Groups in US Adults with Diabetes in the NIH Precision Medicine Initiative All of Us Research Program. </w:t>
      </w:r>
      <w:r w:rsidRPr="00FD7743">
        <w:rPr>
          <w:i/>
        </w:rPr>
        <w:t xml:space="preserve">Cardiovascular Drugs and Therapy. </w:t>
      </w:r>
      <w:r w:rsidRPr="00FD7743">
        <w:t>2022:1-11.</w:t>
      </w:r>
    </w:p>
    <w:p w:rsidR="009641A1" w:rsidRPr="00FD7743" w:rsidRDefault="009641A1" w:rsidP="00FD7743">
      <w:pPr>
        <w:pStyle w:val="EndNoteBibliography"/>
        <w:spacing w:after="0"/>
        <w:ind w:left="720" w:hanging="720"/>
      </w:pPr>
      <w:r w:rsidRPr="00FD7743">
        <w:t>26.</w:t>
      </w:r>
      <w:r w:rsidRPr="00FD7743">
        <w:tab/>
        <w:t xml:space="preserve">Baek JH, Yang YS, Ko S-H, et al. Real-world prescription patterns and barriers related to the use of sodium-glucose cotransporter 2 inhibitors among Korean patients with type 2 diabetes mellitus and cardiovascular disease. </w:t>
      </w:r>
      <w:r w:rsidRPr="00FD7743">
        <w:rPr>
          <w:i/>
        </w:rPr>
        <w:t xml:space="preserve">Diabetes &amp; Metabolism Journal. </w:t>
      </w:r>
      <w:r w:rsidRPr="00FD7743">
        <w:t>2022;46(5):701-712.</w:t>
      </w:r>
    </w:p>
    <w:p w:rsidR="009641A1" w:rsidRPr="00FD7743" w:rsidRDefault="009641A1" w:rsidP="00FD7743">
      <w:pPr>
        <w:pStyle w:val="EndNoteBibliography"/>
        <w:spacing w:after="0"/>
        <w:ind w:left="720" w:hanging="720"/>
      </w:pPr>
      <w:r w:rsidRPr="00FD7743">
        <w:t>27.</w:t>
      </w:r>
      <w:r w:rsidRPr="00FD7743">
        <w:tab/>
        <w:t xml:space="preserve">Kim HK, Song SO, Noh J, Jeong I-K, Lee B-W. Data configuration and publication trends for the Korean national health insurance and health insurance review &amp; assessment database. </w:t>
      </w:r>
      <w:r w:rsidRPr="00FD7743">
        <w:rPr>
          <w:i/>
        </w:rPr>
        <w:t xml:space="preserve">Diabetes &amp; Metabolism Journal. </w:t>
      </w:r>
      <w:r w:rsidRPr="00FD7743">
        <w:t>2020;44(5):671-678.</w:t>
      </w:r>
    </w:p>
    <w:p w:rsidR="009641A1" w:rsidRPr="00FD7743" w:rsidRDefault="009641A1" w:rsidP="00FD7743">
      <w:pPr>
        <w:pStyle w:val="EndNoteBibliography"/>
        <w:spacing w:after="0"/>
        <w:ind w:left="720" w:hanging="720"/>
      </w:pPr>
      <w:r w:rsidRPr="00FD7743">
        <w:t>28.</w:t>
      </w:r>
      <w:r w:rsidRPr="00FD7743">
        <w:tab/>
        <w:t xml:space="preserve">Stone NJ, Robinson JG, Lichtenstein AH, et al. 2013 ACC/AHA guideline on the treatment of blood cholesterol to reduce atherosclerotic cardiovascular risk in adults: a report of the American College of Cardiology/American Heart Association Task Force on Practice Guidelines. </w:t>
      </w:r>
      <w:r w:rsidRPr="00FD7743">
        <w:rPr>
          <w:i/>
        </w:rPr>
        <w:t xml:space="preserve">Circulation. </w:t>
      </w:r>
      <w:r w:rsidRPr="00FD7743">
        <w:t>2014;129(25_suppl_2):S1-S45.</w:t>
      </w:r>
    </w:p>
    <w:p w:rsidR="009641A1" w:rsidRPr="00FD7743" w:rsidRDefault="009641A1" w:rsidP="00FD7743">
      <w:pPr>
        <w:pStyle w:val="EndNoteBibliography"/>
        <w:spacing w:after="0"/>
        <w:ind w:left="720" w:hanging="720"/>
      </w:pPr>
      <w:r w:rsidRPr="00FD7743">
        <w:t>29.</w:t>
      </w:r>
      <w:r w:rsidRPr="00FD7743">
        <w:tab/>
        <w:t xml:space="preserve">Davis TM, Colman PG, Hespe C, Heywood SE, d'Emden M. Cardiovascular disease management in Australian adults with type 2 diabetes: insights from the CAPTURE study. </w:t>
      </w:r>
      <w:r w:rsidRPr="00FD7743">
        <w:rPr>
          <w:i/>
        </w:rPr>
        <w:t xml:space="preserve">Internal Medicine Journal. </w:t>
      </w:r>
      <w:r w:rsidRPr="00FD7743">
        <w:t>2022.</w:t>
      </w:r>
    </w:p>
    <w:p w:rsidR="009641A1" w:rsidRPr="00FD7743" w:rsidRDefault="009641A1" w:rsidP="00FD7743">
      <w:pPr>
        <w:pStyle w:val="EndNoteBibliography"/>
        <w:spacing w:after="0"/>
        <w:ind w:left="720" w:hanging="720"/>
      </w:pPr>
      <w:r w:rsidRPr="00FD7743">
        <w:t>30.</w:t>
      </w:r>
      <w:r w:rsidRPr="00FD7743">
        <w:tab/>
        <w:t xml:space="preserve">Zafar A, Davies M, Azhar A, Khunti K. Clinical inertia in management of T2DM. </w:t>
      </w:r>
      <w:r w:rsidRPr="00FD7743">
        <w:rPr>
          <w:i/>
        </w:rPr>
        <w:t xml:space="preserve">Primary Care Diabetes. </w:t>
      </w:r>
      <w:r w:rsidRPr="00FD7743">
        <w:t>2010;4(4):203-207.</w:t>
      </w:r>
    </w:p>
    <w:p w:rsidR="009641A1" w:rsidRPr="00FD7743" w:rsidRDefault="009641A1" w:rsidP="00FD7743">
      <w:pPr>
        <w:pStyle w:val="EndNoteBibliography"/>
        <w:spacing w:after="0"/>
        <w:ind w:left="720" w:hanging="720"/>
      </w:pPr>
      <w:r w:rsidRPr="00FD7743">
        <w:t>31.</w:t>
      </w:r>
      <w:r w:rsidRPr="00FD7743">
        <w:tab/>
        <w:t xml:space="preserve">Aujoulat I, Jacquemin P, Rietzschel E, et al. Factors associated with clinical inertia: an integrative review. </w:t>
      </w:r>
      <w:r w:rsidRPr="00FD7743">
        <w:rPr>
          <w:i/>
        </w:rPr>
        <w:t xml:space="preserve">Advances in medical education and practice. </w:t>
      </w:r>
      <w:r w:rsidRPr="00FD7743">
        <w:t>2014:141-147.</w:t>
      </w:r>
    </w:p>
    <w:p w:rsidR="009641A1" w:rsidRPr="00FD7743" w:rsidRDefault="009641A1" w:rsidP="00FD7743">
      <w:pPr>
        <w:pStyle w:val="EndNoteBibliography"/>
        <w:spacing w:after="0"/>
        <w:ind w:left="720" w:hanging="720"/>
      </w:pPr>
      <w:r w:rsidRPr="00FD7743">
        <w:t>32.</w:t>
      </w:r>
      <w:r w:rsidRPr="00FD7743">
        <w:tab/>
        <w:t xml:space="preserve">Kim J, Park S, Kim H, Je NK. National trends in metformin-based combination therapy of oral hypoglycaemic agents for type 2 diabetes mellitus. </w:t>
      </w:r>
      <w:r w:rsidRPr="00FD7743">
        <w:rPr>
          <w:i/>
        </w:rPr>
        <w:t xml:space="preserve">European journal of clinical pharmacology. </w:t>
      </w:r>
      <w:r w:rsidRPr="00FD7743">
        <w:t>2019;75:1723-1730.</w:t>
      </w:r>
    </w:p>
    <w:p w:rsidR="009641A1" w:rsidRPr="00FD7743" w:rsidRDefault="009641A1" w:rsidP="00FD7743">
      <w:pPr>
        <w:pStyle w:val="EndNoteBibliography"/>
        <w:spacing w:after="0"/>
        <w:ind w:left="720" w:hanging="720"/>
      </w:pPr>
      <w:r w:rsidRPr="00FD7743">
        <w:t>33.</w:t>
      </w:r>
      <w:r w:rsidRPr="00FD7743">
        <w:tab/>
        <w:t xml:space="preserve">Nobili A, Garattini S, Mannucci PM. Multiple diseases and polypharmacy in the elderly: challenges for the internist of the third millennium. </w:t>
      </w:r>
      <w:r w:rsidRPr="00FD7743">
        <w:rPr>
          <w:i/>
        </w:rPr>
        <w:t xml:space="preserve">J Comorb. </w:t>
      </w:r>
      <w:r w:rsidRPr="00FD7743">
        <w:t>2011;1:28-44.</w:t>
      </w:r>
    </w:p>
    <w:p w:rsidR="009641A1" w:rsidRPr="00FD7743" w:rsidRDefault="009641A1" w:rsidP="00FD7743">
      <w:pPr>
        <w:pStyle w:val="EndNoteBibliography"/>
        <w:spacing w:after="0"/>
        <w:ind w:left="720" w:hanging="720"/>
      </w:pPr>
      <w:r w:rsidRPr="00FD7743">
        <w:t>34.</w:t>
      </w:r>
      <w:r w:rsidRPr="00FD7743">
        <w:tab/>
        <w:t xml:space="preserve">Rodgers JL, Jones J, Bolleddu SI, et al. Cardiovascular risks associated with gender and aging. </w:t>
      </w:r>
      <w:r w:rsidRPr="00FD7743">
        <w:rPr>
          <w:i/>
        </w:rPr>
        <w:t xml:space="preserve">Journal of cardiovascular development and disease. </w:t>
      </w:r>
      <w:r w:rsidRPr="00FD7743">
        <w:t>2019;6(2):19.</w:t>
      </w:r>
    </w:p>
    <w:p w:rsidR="009641A1" w:rsidRPr="00FD7743" w:rsidRDefault="009641A1" w:rsidP="00FD7743">
      <w:pPr>
        <w:pStyle w:val="EndNoteBibliography"/>
        <w:spacing w:after="0"/>
        <w:ind w:left="720" w:hanging="720"/>
      </w:pPr>
      <w:r w:rsidRPr="00FD7743">
        <w:t>35.</w:t>
      </w:r>
      <w:r w:rsidRPr="00FD7743">
        <w:tab/>
        <w:t xml:space="preserve">Wilding J. The importance of weight management in type 2 diabetes mellitus. </w:t>
      </w:r>
      <w:r w:rsidRPr="00FD7743">
        <w:rPr>
          <w:i/>
        </w:rPr>
        <w:t xml:space="preserve">International journal of clinical practice. </w:t>
      </w:r>
      <w:r w:rsidRPr="00FD7743">
        <w:t>2014;68(6):682-691.</w:t>
      </w:r>
    </w:p>
    <w:p w:rsidR="009641A1" w:rsidRPr="00FD7743" w:rsidRDefault="009641A1" w:rsidP="00FD7743">
      <w:pPr>
        <w:pStyle w:val="EndNoteBibliography"/>
        <w:spacing w:after="0"/>
        <w:ind w:left="720" w:hanging="720"/>
      </w:pPr>
      <w:r w:rsidRPr="00FD7743">
        <w:t>36.</w:t>
      </w:r>
      <w:r w:rsidRPr="00FD7743">
        <w:tab/>
        <w:t xml:space="preserve">Brown E, Wilding JP, Barber TM, Alam U, Cuthbertson DJ. Weight loss variability with SGLT2 inhibitors and GLP‐1 receptor agonists in type 2 diabetes mellitus and obesity: mechanistic possibilities. </w:t>
      </w:r>
      <w:r w:rsidRPr="00FD7743">
        <w:rPr>
          <w:i/>
        </w:rPr>
        <w:t xml:space="preserve">Obesity Reviews. </w:t>
      </w:r>
      <w:r w:rsidRPr="00FD7743">
        <w:t>2019;20(6):816-828.</w:t>
      </w:r>
    </w:p>
    <w:p w:rsidR="009641A1" w:rsidRPr="00FD7743" w:rsidRDefault="009641A1" w:rsidP="00FD7743">
      <w:pPr>
        <w:pStyle w:val="EndNoteBibliography"/>
        <w:spacing w:after="0"/>
        <w:ind w:left="720" w:hanging="720"/>
      </w:pPr>
      <w:r w:rsidRPr="00FD7743">
        <w:t>37.</w:t>
      </w:r>
      <w:r w:rsidRPr="00FD7743">
        <w:tab/>
        <w:t xml:space="preserve">Rentzeperi E, Pegiou S, Koufakis T, Grammatiki M, Kotsa K. Sex Differences in Response to Treatment with Glucagon-like Peptide 1 Receptor Agonists: Opportunities for a Tailored Approach to Diabetes and Obesity Care. </w:t>
      </w:r>
      <w:r w:rsidRPr="00FD7743">
        <w:rPr>
          <w:i/>
        </w:rPr>
        <w:t xml:space="preserve">J Pers Med. </w:t>
      </w:r>
      <w:r w:rsidRPr="00FD7743">
        <w:t>2022;12(3).</w:t>
      </w:r>
    </w:p>
    <w:p w:rsidR="009641A1" w:rsidRPr="00FD7743" w:rsidRDefault="009641A1" w:rsidP="00FD7743">
      <w:pPr>
        <w:pStyle w:val="EndNoteBibliography"/>
        <w:spacing w:after="0"/>
        <w:ind w:left="720" w:hanging="720"/>
      </w:pPr>
      <w:r w:rsidRPr="00FD7743">
        <w:t>38.</w:t>
      </w:r>
      <w:r w:rsidRPr="00FD7743">
        <w:tab/>
        <w:t>Eberly LA, Yang L, Essien UR, et al. Racial, ethnic, and socioeconomic inequities in glucagon-like peptide-1 receptor agonist use among patients with diabetes in the US. Paper presented at: JAMA Health Forum2021.</w:t>
      </w:r>
    </w:p>
    <w:p w:rsidR="009641A1" w:rsidRPr="00FD7743" w:rsidRDefault="009641A1" w:rsidP="00FD7743">
      <w:pPr>
        <w:pStyle w:val="EndNoteBibliography"/>
        <w:spacing w:after="0"/>
        <w:ind w:left="720" w:hanging="720"/>
      </w:pPr>
      <w:r w:rsidRPr="00FD7743">
        <w:t>39.</w:t>
      </w:r>
      <w:r w:rsidRPr="00FD7743">
        <w:tab/>
        <w:t xml:space="preserve">Nargesi AA, Jeyashanmugaraja GP, Desai N, Lipska K, Krumholz H, Khera R. Contemporary national patterns of eligibility and use of novel cardioprotective antihyperglycemic agents in type 2 diabetes mellitus. </w:t>
      </w:r>
      <w:r w:rsidRPr="00FD7743">
        <w:rPr>
          <w:i/>
        </w:rPr>
        <w:t xml:space="preserve">Journal of the American Heart Association. </w:t>
      </w:r>
      <w:r w:rsidRPr="00FD7743">
        <w:t>2021;10(13):e021084.</w:t>
      </w:r>
    </w:p>
    <w:p w:rsidR="009641A1" w:rsidRPr="00FD7743" w:rsidRDefault="009641A1" w:rsidP="00FD7743">
      <w:pPr>
        <w:pStyle w:val="EndNoteBibliography"/>
        <w:spacing w:after="0"/>
        <w:ind w:left="720" w:hanging="720"/>
      </w:pPr>
      <w:r w:rsidRPr="00FD7743">
        <w:lastRenderedPageBreak/>
        <w:t>40.</w:t>
      </w:r>
      <w:r w:rsidRPr="00FD7743">
        <w:tab/>
        <w:t xml:space="preserve">Musunuru K. Atherogenic dyslipidemia: cardiovascular risk and dietary intervention. </w:t>
      </w:r>
      <w:r w:rsidRPr="00FD7743">
        <w:rPr>
          <w:i/>
        </w:rPr>
        <w:t xml:space="preserve">Lipids. </w:t>
      </w:r>
      <w:r w:rsidRPr="00FD7743">
        <w:t>2010;45(10):907-914.</w:t>
      </w:r>
    </w:p>
    <w:p w:rsidR="009641A1" w:rsidRPr="00FD7743" w:rsidRDefault="009641A1" w:rsidP="00FD7743">
      <w:pPr>
        <w:pStyle w:val="EndNoteBibliography"/>
        <w:spacing w:after="0"/>
        <w:ind w:left="720" w:hanging="720"/>
      </w:pPr>
      <w:r w:rsidRPr="00FD7743">
        <w:t>41.</w:t>
      </w:r>
      <w:r w:rsidRPr="00FD7743">
        <w:tab/>
        <w:t xml:space="preserve">Cardoso R, Graffunder FP, Ternes CM, et al. SGLT2 inhibitors decrease cardiovascular death and heart failure hospitalizations in patients with heart failure: a systematic review and meta-analysis. </w:t>
      </w:r>
      <w:r w:rsidRPr="00FD7743">
        <w:rPr>
          <w:i/>
        </w:rPr>
        <w:t xml:space="preserve">EClinicalMedicine. </w:t>
      </w:r>
      <w:r w:rsidRPr="00FD7743">
        <w:t>2021;36.</w:t>
      </w:r>
    </w:p>
    <w:p w:rsidR="009641A1" w:rsidRPr="00FD7743" w:rsidRDefault="009641A1" w:rsidP="00FD7743">
      <w:pPr>
        <w:pStyle w:val="EndNoteBibliography"/>
        <w:spacing w:after="0"/>
        <w:ind w:left="720" w:hanging="720"/>
      </w:pPr>
      <w:r w:rsidRPr="00FD7743">
        <w:t>42.</w:t>
      </w:r>
      <w:r w:rsidRPr="00FD7743">
        <w:tab/>
        <w:t xml:space="preserve">Lajthia E, Bucheit JD, Nadpara PA, et al. Combination therapy with once-weekly glucagon like peptide-1 receptor agonists and dipeptidyl peptidase-4 inhibitors in type 2 diabetes: a case series. </w:t>
      </w:r>
      <w:r w:rsidRPr="00FD7743">
        <w:rPr>
          <w:i/>
        </w:rPr>
        <w:t xml:space="preserve">Pharm Pract (Granada). </w:t>
      </w:r>
      <w:r w:rsidRPr="00FD7743">
        <w:t>2019;17(4):1588.</w:t>
      </w:r>
    </w:p>
    <w:p w:rsidR="009641A1" w:rsidRPr="00FD7743" w:rsidRDefault="009641A1" w:rsidP="00FD7743">
      <w:pPr>
        <w:pStyle w:val="EndNoteBibliography"/>
        <w:spacing w:after="0"/>
        <w:ind w:left="720" w:hanging="720"/>
      </w:pPr>
      <w:r w:rsidRPr="00FD7743">
        <w:t>43.</w:t>
      </w:r>
      <w:r w:rsidRPr="00FD7743">
        <w:tab/>
        <w:t xml:space="preserve">Cho YK, Kang YM, Lee SE, et al. Efficacy and safety of combination therapy with SGLT2 and DPP4 inhibitors in the treatment of type 2 diabetes: A systematic review and meta-analysis. </w:t>
      </w:r>
      <w:r w:rsidRPr="00FD7743">
        <w:rPr>
          <w:i/>
        </w:rPr>
        <w:t xml:space="preserve">Diabetes Metab. </w:t>
      </w:r>
      <w:r w:rsidRPr="00FD7743">
        <w:t>2018;44(5):393-401.</w:t>
      </w:r>
    </w:p>
    <w:p w:rsidR="009641A1" w:rsidRPr="00FD7743" w:rsidRDefault="009641A1" w:rsidP="00FD7743">
      <w:pPr>
        <w:pStyle w:val="EndNoteBibliography"/>
        <w:spacing w:after="0"/>
        <w:ind w:left="720" w:hanging="720"/>
      </w:pPr>
      <w:r w:rsidRPr="00FD7743">
        <w:t>44.</w:t>
      </w:r>
      <w:r w:rsidRPr="00FD7743">
        <w:tab/>
        <w:t xml:space="preserve">Solomon MD, Goldman DP, Joyce GF, Escarce JJ. Cost Sharing and the Initiation of Drug Therapy for the Chronically Ill. </w:t>
      </w:r>
      <w:r w:rsidRPr="00FD7743">
        <w:rPr>
          <w:i/>
        </w:rPr>
        <w:t xml:space="preserve">Archives of Internal Medicine. </w:t>
      </w:r>
      <w:r w:rsidRPr="00FD7743">
        <w:t>2009;169(8):740-748.</w:t>
      </w:r>
    </w:p>
    <w:p w:rsidR="009641A1" w:rsidRPr="00FD7743" w:rsidRDefault="009641A1" w:rsidP="00FD7743">
      <w:pPr>
        <w:pStyle w:val="EndNoteBibliography"/>
        <w:spacing w:after="0"/>
        <w:ind w:left="720" w:hanging="720"/>
      </w:pPr>
      <w:r w:rsidRPr="00FD7743">
        <w:t>45.</w:t>
      </w:r>
      <w:r w:rsidRPr="00FD7743">
        <w:tab/>
        <w:t xml:space="preserve">Arnold SV, Gosch K, Kosiborod M, et al. Contemporary use of cardiovascular risk reduction strategies in type 2 diabetes. Insights from the diabetes collaborative registry. </w:t>
      </w:r>
      <w:r w:rsidRPr="00FD7743">
        <w:rPr>
          <w:i/>
        </w:rPr>
        <w:t xml:space="preserve">Am Heart J. </w:t>
      </w:r>
      <w:r w:rsidRPr="00FD7743">
        <w:t>2023;263:104-111.</w:t>
      </w:r>
    </w:p>
    <w:p w:rsidR="009641A1" w:rsidRPr="00FD7743" w:rsidRDefault="009641A1" w:rsidP="00FD7743">
      <w:pPr>
        <w:pStyle w:val="EndNoteBibliography"/>
        <w:spacing w:after="0"/>
        <w:ind w:left="720" w:hanging="720"/>
      </w:pPr>
      <w:r w:rsidRPr="00FD7743">
        <w:t>46.</w:t>
      </w:r>
      <w:r w:rsidRPr="00FD7743">
        <w:tab/>
        <w:t xml:space="preserve">Martens P, Mathieu C, Vanassche T. The use of glucagon-like-peptide-1 receptor agonist in the cardiology practice. </w:t>
      </w:r>
      <w:r w:rsidRPr="00FD7743">
        <w:rPr>
          <w:i/>
        </w:rPr>
        <w:t xml:space="preserve">Acta Cardiol. </w:t>
      </w:r>
      <w:r w:rsidRPr="00FD7743">
        <w:t>2023;78(5):552-564.</w:t>
      </w:r>
    </w:p>
    <w:p w:rsidR="009641A1" w:rsidRPr="00FD7743" w:rsidRDefault="009641A1" w:rsidP="00FD7743">
      <w:pPr>
        <w:pStyle w:val="EndNoteBibliography"/>
        <w:spacing w:after="0"/>
        <w:ind w:left="720" w:hanging="720"/>
      </w:pPr>
      <w:r w:rsidRPr="00FD7743">
        <w:t>47.</w:t>
      </w:r>
      <w:r w:rsidRPr="00FD7743">
        <w:tab/>
        <w:t xml:space="preserve">Adhikari R, Rajan T, Blaha M. Unmet role of cardiologists: use of cardiometabolic drugs that lower cardiovascular risk. </w:t>
      </w:r>
      <w:r w:rsidRPr="00FD7743">
        <w:rPr>
          <w:i/>
        </w:rPr>
        <w:t xml:space="preserve">American College of Cardiology Available at: </w:t>
      </w:r>
      <w:r w:rsidRPr="009641A1">
        <w:rPr>
          <w:i/>
        </w:rPr>
        <w:t>https://www</w:t>
      </w:r>
      <w:r w:rsidRPr="00FD7743">
        <w:rPr>
          <w:i/>
        </w:rPr>
        <w:t xml:space="preserve"> acc org/latest‐in‐cardiology/articles/2020/06/17/13/49/unmet‐role‐of‐cardiologists. </w:t>
      </w:r>
      <w:r w:rsidRPr="00FD7743">
        <w:t>2020.</w:t>
      </w:r>
    </w:p>
    <w:p w:rsidR="009641A1" w:rsidRPr="00FD7743" w:rsidRDefault="009641A1" w:rsidP="00FD7743">
      <w:pPr>
        <w:pStyle w:val="EndNoteBibliography"/>
        <w:ind w:left="720" w:hanging="720"/>
      </w:pPr>
      <w:r w:rsidRPr="00FD7743">
        <w:t>48.</w:t>
      </w:r>
      <w:r w:rsidRPr="00FD7743">
        <w:tab/>
        <w:t xml:space="preserve">Adhikari R, Jha K, Dardari Z, et al. National Trends in Use of Sodium‐Glucose Cotransporter‐2 Inhibitors and Glucagon‐like Peptide‐1 Receptor Agonists by Cardiologists and Other Specialties, 2015 to 2020. </w:t>
      </w:r>
      <w:r w:rsidRPr="00FD7743">
        <w:rPr>
          <w:i/>
        </w:rPr>
        <w:t xml:space="preserve">Journal of the American Heart Association. </w:t>
      </w:r>
      <w:r w:rsidRPr="00FD7743">
        <w:t>2022;11(9):e023811.</w:t>
      </w:r>
    </w:p>
    <w:p w:rsidR="009641A1" w:rsidRPr="00223327" w:rsidRDefault="009641A1" w:rsidP="00223327">
      <w:pPr>
        <w:wordWrap/>
        <w:spacing w:after="0" w:line="480" w:lineRule="auto"/>
        <w:rPr>
          <w:rFonts w:ascii="Times New Roman" w:hAnsi="Times New Roman"/>
          <w:b/>
          <w:sz w:val="24"/>
          <w:szCs w:val="24"/>
        </w:rPr>
      </w:pPr>
      <w:r>
        <w:rPr>
          <w:rFonts w:ascii="Times New Roman" w:hAnsi="Times New Roman"/>
        </w:rPr>
        <w:br w:type="page"/>
      </w:r>
      <w:r w:rsidRPr="00223327">
        <w:rPr>
          <w:rFonts w:ascii="Times New Roman" w:hAnsi="Times New Roman"/>
          <w:b/>
          <w:sz w:val="24"/>
          <w:szCs w:val="24"/>
        </w:rPr>
        <w:lastRenderedPageBreak/>
        <w:t>Figure Legends</w:t>
      </w:r>
    </w:p>
    <w:p w:rsidR="009641A1" w:rsidRPr="00DC134A" w:rsidRDefault="009641A1" w:rsidP="00223327">
      <w:pPr>
        <w:wordWrap/>
        <w:spacing w:after="0" w:line="480" w:lineRule="auto"/>
        <w:ind w:leftChars="50" w:left="340" w:hangingChars="100" w:hanging="240"/>
        <w:rPr>
          <w:rFonts w:ascii="Times New Roman" w:hAnsi="Times New Roman"/>
          <w:sz w:val="24"/>
          <w:szCs w:val="24"/>
        </w:rPr>
      </w:pPr>
      <w:r w:rsidRPr="00DC134A">
        <w:rPr>
          <w:rFonts w:ascii="Times New Roman" w:hAnsi="Times New Roman"/>
          <w:b/>
          <w:sz w:val="24"/>
          <w:szCs w:val="24"/>
        </w:rPr>
        <w:t>Figure 1.</w:t>
      </w:r>
      <w:r w:rsidRPr="00DC134A">
        <w:rPr>
          <w:rFonts w:ascii="Times New Roman" w:hAnsi="Times New Roman"/>
          <w:sz w:val="24"/>
          <w:szCs w:val="24"/>
        </w:rPr>
        <w:t xml:space="preserve"> Selection of </w:t>
      </w:r>
      <w:r>
        <w:rPr>
          <w:rFonts w:ascii="Times New Roman" w:hAnsi="Times New Roman"/>
          <w:sz w:val="24"/>
          <w:szCs w:val="24"/>
        </w:rPr>
        <w:t xml:space="preserve">the </w:t>
      </w:r>
      <w:r w:rsidRPr="00DC134A">
        <w:rPr>
          <w:rFonts w:ascii="Times New Roman" w:hAnsi="Times New Roman"/>
          <w:sz w:val="24"/>
          <w:szCs w:val="24"/>
        </w:rPr>
        <w:t xml:space="preserve">study population. </w:t>
      </w:r>
    </w:p>
    <w:p w:rsidR="009641A1" w:rsidRPr="00DC134A" w:rsidRDefault="009641A1" w:rsidP="00223327">
      <w:pPr>
        <w:wordWrap/>
        <w:spacing w:after="0" w:line="480" w:lineRule="auto"/>
        <w:rPr>
          <w:rFonts w:ascii="Times New Roman" w:hAnsi="Times New Roman"/>
          <w:sz w:val="16"/>
          <w:szCs w:val="16"/>
        </w:rPr>
      </w:pPr>
      <w:r w:rsidRPr="00EA3D4B">
        <w:rPr>
          <w:rFonts w:ascii="Arial" w:hAnsi="Arial" w:cs="Arial"/>
          <w:sz w:val="16"/>
          <w:szCs w:val="16"/>
        </w:rPr>
        <w:t>* Date when concurrent T2DM and ASCVD were initially identified; T2DM: Type 2 diabetes mellitus; ASCVD, atherosclerotic cardiovascular disease; NPS: National patient Sample data</w:t>
      </w:r>
      <w:r>
        <w:rPr>
          <w:rFonts w:ascii="Times New Roman" w:hAnsi="Times New Roman"/>
          <w:sz w:val="16"/>
          <w:szCs w:val="16"/>
        </w:rPr>
        <w:t>.</w:t>
      </w:r>
      <w:r w:rsidRPr="00DC134A">
        <w:rPr>
          <w:rFonts w:ascii="Times New Roman" w:hAnsi="Times New Roman"/>
          <w:sz w:val="16"/>
          <w:szCs w:val="16"/>
        </w:rPr>
        <w:t xml:space="preserve"> </w:t>
      </w:r>
    </w:p>
    <w:p w:rsidR="009641A1" w:rsidRPr="00DC134A" w:rsidRDefault="009641A1" w:rsidP="00AD1956">
      <w:pPr>
        <w:wordWrap/>
        <w:spacing w:line="480" w:lineRule="auto"/>
        <w:ind w:firstLineChars="50" w:firstLine="120"/>
        <w:jc w:val="left"/>
        <w:rPr>
          <w:rFonts w:ascii="Times New Roman" w:hAnsi="Times New Roman"/>
          <w:sz w:val="24"/>
          <w:szCs w:val="24"/>
        </w:rPr>
      </w:pPr>
      <w:r w:rsidRPr="00DC134A">
        <w:rPr>
          <w:rFonts w:ascii="Times New Roman" w:hAnsi="Times New Roman"/>
          <w:b/>
          <w:sz w:val="24"/>
          <w:szCs w:val="24"/>
        </w:rPr>
        <w:t>Figure 2.</w:t>
      </w:r>
      <w:r w:rsidRPr="00DC134A">
        <w:rPr>
          <w:rFonts w:ascii="Times New Roman" w:hAnsi="Times New Roman"/>
          <w:sz w:val="24"/>
          <w:szCs w:val="24"/>
        </w:rPr>
        <w:t xml:space="preserve"> The utilization rate of SGLT2i and GLP1RA</w:t>
      </w:r>
      <w:r>
        <w:rPr>
          <w:rFonts w:ascii="Times New Roman" w:hAnsi="Times New Roman"/>
          <w:sz w:val="24"/>
          <w:szCs w:val="24"/>
        </w:rPr>
        <w:t xml:space="preserve"> between</w:t>
      </w:r>
      <w:r w:rsidRPr="00DC134A">
        <w:rPr>
          <w:rFonts w:ascii="Times New Roman" w:hAnsi="Times New Roman"/>
          <w:sz w:val="24"/>
          <w:szCs w:val="24"/>
        </w:rPr>
        <w:t xml:space="preserve"> 2015</w:t>
      </w:r>
      <w:r>
        <w:rPr>
          <w:rFonts w:ascii="Times New Roman" w:hAnsi="Times New Roman"/>
          <w:sz w:val="24"/>
          <w:szCs w:val="24"/>
        </w:rPr>
        <w:t xml:space="preserve"> and </w:t>
      </w:r>
      <w:r w:rsidRPr="00DC134A">
        <w:rPr>
          <w:rFonts w:ascii="Times New Roman" w:hAnsi="Times New Roman"/>
          <w:sz w:val="24"/>
          <w:szCs w:val="24"/>
        </w:rPr>
        <w:t xml:space="preserve">2020. </w:t>
      </w:r>
    </w:p>
    <w:p w:rsidR="009641A1" w:rsidRPr="006C60E5" w:rsidRDefault="009641A1" w:rsidP="006C60E5">
      <w:pPr>
        <w:wordWrap/>
        <w:spacing w:line="480" w:lineRule="auto"/>
        <w:jc w:val="left"/>
        <w:rPr>
          <w:rFonts w:ascii="Arial" w:hAnsi="Arial" w:cs="Arial"/>
          <w:sz w:val="16"/>
          <w:szCs w:val="16"/>
        </w:rPr>
      </w:pPr>
      <w:r w:rsidRPr="00ED2B33">
        <w:rPr>
          <w:rFonts w:ascii="Arial" w:hAnsi="Arial" w:cs="Arial"/>
          <w:sz w:val="16"/>
          <w:szCs w:val="16"/>
        </w:rPr>
        <w:t xml:space="preserve">The </w:t>
      </w:r>
      <w:r w:rsidRPr="00ED2B33">
        <w:rPr>
          <w:rFonts w:ascii="Arial" w:hAnsi="Arial" w:cs="Arial"/>
          <w:i/>
          <w:iCs/>
          <w:sz w:val="16"/>
          <w:szCs w:val="16"/>
        </w:rPr>
        <w:t>p</w:t>
      </w:r>
      <w:r w:rsidRPr="00ED2B33">
        <w:rPr>
          <w:rFonts w:ascii="Arial" w:hAnsi="Arial" w:cs="Arial"/>
          <w:sz w:val="16"/>
          <w:szCs w:val="16"/>
        </w:rPr>
        <w:t xml:space="preserve"> values for the Cochran-Armitage trend test of SGLT2i use, GLP1RA use, and use of either of them was less than 0.001</w:t>
      </w:r>
      <w:r>
        <w:rPr>
          <w:rFonts w:ascii="Arial" w:hAnsi="Arial" w:cs="Arial"/>
          <w:sz w:val="16"/>
          <w:szCs w:val="16"/>
        </w:rPr>
        <w:t>.</w:t>
      </w:r>
      <w:r w:rsidRPr="00DC134A">
        <w:rPr>
          <w:rFonts w:ascii="Arial" w:hAnsi="Arial" w:cs="Arial"/>
          <w:sz w:val="16"/>
          <w:szCs w:val="16"/>
        </w:rPr>
        <w:t xml:space="preserve"> SGLT2i</w:t>
      </w:r>
      <w:r>
        <w:rPr>
          <w:rFonts w:ascii="Arial" w:hAnsi="Arial" w:cs="Arial"/>
          <w:sz w:val="16"/>
          <w:szCs w:val="16"/>
        </w:rPr>
        <w:t xml:space="preserve"> (green)</w:t>
      </w:r>
      <w:r w:rsidRPr="00DC134A">
        <w:rPr>
          <w:rFonts w:ascii="Arial" w:hAnsi="Arial" w:cs="Arial"/>
          <w:sz w:val="16"/>
          <w:szCs w:val="16"/>
        </w:rPr>
        <w:t>; GLP1RA</w:t>
      </w:r>
      <w:r>
        <w:rPr>
          <w:rFonts w:ascii="Arial" w:hAnsi="Arial" w:cs="Arial"/>
          <w:sz w:val="16"/>
          <w:szCs w:val="16"/>
        </w:rPr>
        <w:t xml:space="preserve"> (red)</w:t>
      </w:r>
      <w:r w:rsidRPr="00DC134A">
        <w:rPr>
          <w:rFonts w:ascii="Arial" w:hAnsi="Arial" w:cs="Arial"/>
          <w:sz w:val="16"/>
          <w:szCs w:val="16"/>
        </w:rPr>
        <w:t>; SGLT2i or GLP1RA</w:t>
      </w:r>
      <w:r>
        <w:rPr>
          <w:rFonts w:ascii="Arial" w:hAnsi="Arial" w:cs="Arial"/>
          <w:sz w:val="16"/>
          <w:szCs w:val="16"/>
        </w:rPr>
        <w:t xml:space="preserve"> (blue).</w:t>
      </w:r>
      <w:r w:rsidRPr="00DC134A">
        <w:rPr>
          <w:rFonts w:ascii="Arial" w:hAnsi="Arial" w:cs="Arial"/>
          <w:sz w:val="16"/>
          <w:szCs w:val="16"/>
        </w:rPr>
        <w:t xml:space="preserve"> SGLT2i</w:t>
      </w:r>
      <w:r>
        <w:rPr>
          <w:rFonts w:ascii="Arial" w:hAnsi="Arial" w:cs="Arial"/>
          <w:sz w:val="16"/>
          <w:szCs w:val="16"/>
        </w:rPr>
        <w:t>:</w:t>
      </w:r>
      <w:r w:rsidRPr="00DC134A">
        <w:rPr>
          <w:rFonts w:ascii="Arial" w:hAnsi="Arial" w:cs="Arial"/>
          <w:sz w:val="16"/>
          <w:szCs w:val="16"/>
        </w:rPr>
        <w:t xml:space="preserve"> sodium</w:t>
      </w:r>
      <w:r>
        <w:rPr>
          <w:rFonts w:ascii="Arial" w:hAnsi="Arial" w:cs="Arial"/>
          <w:sz w:val="16"/>
          <w:szCs w:val="16"/>
        </w:rPr>
        <w:t>-</w:t>
      </w:r>
      <w:r w:rsidRPr="00DC134A">
        <w:rPr>
          <w:rFonts w:ascii="Arial" w:hAnsi="Arial" w:cs="Arial"/>
          <w:sz w:val="16"/>
          <w:szCs w:val="16"/>
        </w:rPr>
        <w:t>glucose cotransporter 2 inhibitor</w:t>
      </w:r>
      <w:r>
        <w:rPr>
          <w:rFonts w:ascii="Arial" w:hAnsi="Arial" w:cs="Arial"/>
          <w:sz w:val="16"/>
          <w:szCs w:val="16"/>
        </w:rPr>
        <w:t>s</w:t>
      </w:r>
      <w:r w:rsidRPr="00DC134A">
        <w:rPr>
          <w:rFonts w:ascii="Arial" w:hAnsi="Arial" w:cs="Arial"/>
          <w:sz w:val="16"/>
          <w:szCs w:val="16"/>
        </w:rPr>
        <w:t>; GLP1RA</w:t>
      </w:r>
      <w:r>
        <w:rPr>
          <w:rFonts w:ascii="Arial" w:hAnsi="Arial" w:cs="Arial"/>
          <w:sz w:val="16"/>
          <w:szCs w:val="16"/>
        </w:rPr>
        <w:t>:</w:t>
      </w:r>
      <w:r w:rsidRPr="00DC134A">
        <w:rPr>
          <w:rFonts w:ascii="Arial" w:hAnsi="Arial" w:cs="Arial"/>
          <w:sz w:val="16"/>
          <w:szCs w:val="16"/>
        </w:rPr>
        <w:t xml:space="preserve"> glucagon-like peptide-1 receptor </w:t>
      </w:r>
      <w:proofErr w:type="gramStart"/>
      <w:r w:rsidRPr="00DC134A">
        <w:rPr>
          <w:rFonts w:ascii="Arial" w:hAnsi="Arial" w:cs="Arial"/>
          <w:sz w:val="16"/>
          <w:szCs w:val="16"/>
        </w:rPr>
        <w:t>agonist</w:t>
      </w:r>
      <w:r>
        <w:rPr>
          <w:rFonts w:ascii="Arial" w:hAnsi="Arial" w:cs="Arial"/>
          <w:sz w:val="16"/>
          <w:szCs w:val="16"/>
        </w:rPr>
        <w:t>s</w:t>
      </w:r>
      <w:proofErr w:type="gramEnd"/>
      <w:r>
        <w:rPr>
          <w:rFonts w:ascii="Arial" w:hAnsi="Arial" w:cs="Arial"/>
          <w:sz w:val="16"/>
          <w:szCs w:val="16"/>
        </w:rPr>
        <w:t>.</w:t>
      </w:r>
    </w:p>
    <w:p w:rsidR="009641A1" w:rsidRPr="00DC134A" w:rsidRDefault="009641A1" w:rsidP="00AD1956">
      <w:pPr>
        <w:wordWrap/>
        <w:spacing w:line="480" w:lineRule="auto"/>
        <w:ind w:firstLineChars="50" w:firstLine="120"/>
        <w:jc w:val="left"/>
        <w:rPr>
          <w:rFonts w:ascii="Times New Roman" w:hAnsi="Times New Roman"/>
          <w:sz w:val="24"/>
          <w:szCs w:val="24"/>
        </w:rPr>
      </w:pPr>
      <w:r w:rsidRPr="00DC134A">
        <w:rPr>
          <w:rFonts w:ascii="Times New Roman" w:hAnsi="Times New Roman"/>
          <w:b/>
          <w:sz w:val="24"/>
          <w:szCs w:val="24"/>
        </w:rPr>
        <w:t>Figure 3.</w:t>
      </w:r>
      <w:r w:rsidRPr="00DC134A">
        <w:rPr>
          <w:rFonts w:ascii="Times New Roman" w:hAnsi="Times New Roman"/>
          <w:sz w:val="24"/>
          <w:szCs w:val="24"/>
        </w:rPr>
        <w:t xml:space="preserve"> Trends in utilization of each SGLT2i </w:t>
      </w:r>
      <w:r>
        <w:rPr>
          <w:rFonts w:ascii="Times New Roman" w:hAnsi="Times New Roman"/>
          <w:sz w:val="24"/>
          <w:szCs w:val="24"/>
        </w:rPr>
        <w:t>agent between</w:t>
      </w:r>
      <w:r w:rsidRPr="00DC134A">
        <w:rPr>
          <w:rFonts w:ascii="Times New Roman" w:hAnsi="Times New Roman"/>
          <w:sz w:val="24"/>
          <w:szCs w:val="24"/>
        </w:rPr>
        <w:t xml:space="preserve"> 2015</w:t>
      </w:r>
      <w:r>
        <w:rPr>
          <w:rFonts w:ascii="Times New Roman" w:hAnsi="Times New Roman"/>
          <w:sz w:val="24"/>
          <w:szCs w:val="24"/>
        </w:rPr>
        <w:t xml:space="preserve"> and </w:t>
      </w:r>
      <w:r w:rsidRPr="00DC134A">
        <w:rPr>
          <w:rFonts w:ascii="Times New Roman" w:hAnsi="Times New Roman"/>
          <w:sz w:val="24"/>
          <w:szCs w:val="24"/>
        </w:rPr>
        <w:t>2020</w:t>
      </w:r>
    </w:p>
    <w:p w:rsidR="009641A1" w:rsidRPr="00DC134A" w:rsidRDefault="009641A1" w:rsidP="006C60E5">
      <w:pPr>
        <w:wordWrap/>
        <w:spacing w:line="480" w:lineRule="auto"/>
        <w:jc w:val="left"/>
        <w:rPr>
          <w:rFonts w:ascii="Times New Roman" w:hAnsi="Times New Roman"/>
          <w:sz w:val="16"/>
          <w:szCs w:val="16"/>
        </w:rPr>
      </w:pPr>
      <w:r w:rsidRPr="006E1C2D">
        <w:rPr>
          <w:rFonts w:ascii="Arial" w:hAnsi="Arial" w:cs="Arial"/>
          <w:sz w:val="16"/>
          <w:szCs w:val="16"/>
        </w:rPr>
        <w:t xml:space="preserve">The </w:t>
      </w:r>
      <w:r w:rsidRPr="006E1C2D">
        <w:rPr>
          <w:rFonts w:ascii="Arial" w:hAnsi="Arial" w:cs="Arial"/>
          <w:i/>
          <w:iCs/>
          <w:sz w:val="16"/>
          <w:szCs w:val="16"/>
        </w:rPr>
        <w:t>p</w:t>
      </w:r>
      <w:r w:rsidRPr="006E1C2D">
        <w:rPr>
          <w:rFonts w:ascii="Arial" w:hAnsi="Arial" w:cs="Arial"/>
          <w:sz w:val="16"/>
          <w:szCs w:val="16"/>
        </w:rPr>
        <w:t xml:space="preserve"> values for the Cochran-Armitage trend test of each individual SGLT2i ingredient use were less than 0.001 (except </w:t>
      </w:r>
      <w:r>
        <w:rPr>
          <w:rFonts w:ascii="Arial" w:hAnsi="Arial" w:cs="Arial"/>
          <w:sz w:val="16"/>
          <w:szCs w:val="16"/>
        </w:rPr>
        <w:t>i</w:t>
      </w:r>
      <w:r w:rsidRPr="006E1C2D">
        <w:rPr>
          <w:rFonts w:ascii="Arial" w:hAnsi="Arial" w:cs="Arial"/>
          <w:sz w:val="16"/>
          <w:szCs w:val="16"/>
        </w:rPr>
        <w:t>pragliflozin</w:t>
      </w:r>
      <w:r>
        <w:rPr>
          <w:rFonts w:ascii="Arial" w:hAnsi="Arial" w:cs="Arial"/>
          <w:sz w:val="16"/>
          <w:szCs w:val="16"/>
        </w:rPr>
        <w:t>;</w:t>
      </w:r>
      <w:r w:rsidRPr="006E1C2D">
        <w:rPr>
          <w:rFonts w:ascii="Arial" w:hAnsi="Arial" w:cs="Arial"/>
          <w:sz w:val="16"/>
          <w:szCs w:val="16"/>
        </w:rPr>
        <w:t xml:space="preserve"> </w:t>
      </w:r>
      <w:r>
        <w:rPr>
          <w:rFonts w:ascii="Arial" w:hAnsi="Arial" w:cs="Arial"/>
          <w:sz w:val="16"/>
          <w:szCs w:val="16"/>
        </w:rPr>
        <w:t>i</w:t>
      </w:r>
      <w:r w:rsidRPr="006E1C2D">
        <w:rPr>
          <w:rFonts w:ascii="Arial" w:hAnsi="Arial" w:cs="Arial"/>
          <w:sz w:val="16"/>
          <w:szCs w:val="16"/>
        </w:rPr>
        <w:t xml:space="preserve">pragliflozin: </w:t>
      </w:r>
      <w:r w:rsidRPr="006E1C2D">
        <w:rPr>
          <w:rFonts w:ascii="Arial" w:hAnsi="Arial" w:cs="Arial"/>
          <w:i/>
          <w:iCs/>
          <w:sz w:val="16"/>
          <w:szCs w:val="16"/>
        </w:rPr>
        <w:t>p</w:t>
      </w:r>
      <w:r w:rsidRPr="006E1C2D">
        <w:rPr>
          <w:rFonts w:ascii="Arial" w:hAnsi="Arial" w:cs="Arial"/>
          <w:sz w:val="16"/>
          <w:szCs w:val="16"/>
        </w:rPr>
        <w:t xml:space="preserve"> </w:t>
      </w:r>
      <w:r w:rsidRPr="00ED2B33">
        <w:rPr>
          <w:rFonts w:ascii="Arial" w:hAnsi="Arial" w:cs="Arial"/>
          <w:sz w:val="16"/>
          <w:szCs w:val="16"/>
        </w:rPr>
        <w:t>= 0.463).</w:t>
      </w:r>
      <w:r w:rsidRPr="00DC134A">
        <w:rPr>
          <w:rFonts w:ascii="Arial" w:hAnsi="Arial" w:cs="Arial"/>
          <w:sz w:val="16"/>
          <w:szCs w:val="16"/>
        </w:rPr>
        <w:t xml:space="preserve"> </w:t>
      </w:r>
      <w:r>
        <w:rPr>
          <w:rFonts w:ascii="Arial" w:hAnsi="Arial" w:cs="Arial"/>
          <w:sz w:val="16"/>
          <w:szCs w:val="16"/>
        </w:rPr>
        <w:t>P</w:t>
      </w:r>
      <w:r w:rsidRPr="00DC134A">
        <w:rPr>
          <w:rFonts w:ascii="Arial" w:hAnsi="Arial" w:cs="Arial"/>
          <w:sz w:val="16"/>
          <w:szCs w:val="16"/>
        </w:rPr>
        <w:t>roportion of dapagliflozin</w:t>
      </w:r>
      <w:r>
        <w:rPr>
          <w:rFonts w:ascii="Arial" w:hAnsi="Arial" w:cs="Arial"/>
          <w:sz w:val="16"/>
          <w:szCs w:val="16"/>
        </w:rPr>
        <w:t xml:space="preserve"> (red)</w:t>
      </w:r>
      <w:r w:rsidRPr="00DC134A">
        <w:rPr>
          <w:rFonts w:ascii="Arial" w:hAnsi="Arial" w:cs="Arial"/>
          <w:sz w:val="16"/>
          <w:szCs w:val="16"/>
        </w:rPr>
        <w:t>; proportion of ipragliflozin</w:t>
      </w:r>
      <w:r>
        <w:rPr>
          <w:rFonts w:ascii="Arial" w:hAnsi="Arial" w:cs="Arial"/>
          <w:sz w:val="16"/>
          <w:szCs w:val="16"/>
        </w:rPr>
        <w:t xml:space="preserve"> (purple)</w:t>
      </w:r>
      <w:r w:rsidRPr="00DC134A">
        <w:rPr>
          <w:rFonts w:ascii="Arial" w:hAnsi="Arial" w:cs="Arial"/>
          <w:sz w:val="16"/>
          <w:szCs w:val="16"/>
        </w:rPr>
        <w:t>; proportion of empagliflozin</w:t>
      </w:r>
      <w:r>
        <w:rPr>
          <w:rFonts w:ascii="Arial" w:hAnsi="Arial" w:cs="Arial"/>
          <w:sz w:val="16"/>
          <w:szCs w:val="16"/>
        </w:rPr>
        <w:t xml:space="preserve"> (green);</w:t>
      </w:r>
      <w:r w:rsidRPr="00DC134A">
        <w:rPr>
          <w:rFonts w:ascii="Arial" w:hAnsi="Arial" w:cs="Arial"/>
          <w:sz w:val="16"/>
          <w:szCs w:val="16"/>
        </w:rPr>
        <w:t xml:space="preserve"> </w:t>
      </w:r>
      <w:r>
        <w:rPr>
          <w:rFonts w:ascii="Arial" w:hAnsi="Arial" w:cs="Arial"/>
          <w:sz w:val="16"/>
          <w:szCs w:val="16"/>
        </w:rPr>
        <w:t xml:space="preserve">proportion of </w:t>
      </w:r>
      <w:r w:rsidRPr="00DC134A">
        <w:rPr>
          <w:rFonts w:ascii="Arial" w:hAnsi="Arial" w:cs="Arial"/>
          <w:sz w:val="16"/>
          <w:szCs w:val="16"/>
        </w:rPr>
        <w:t>ertugliflozin</w:t>
      </w:r>
      <w:r>
        <w:rPr>
          <w:rFonts w:ascii="Arial" w:hAnsi="Arial" w:cs="Arial"/>
          <w:sz w:val="16"/>
          <w:szCs w:val="16"/>
        </w:rPr>
        <w:t xml:space="preserve"> (blue)</w:t>
      </w:r>
      <w:r w:rsidRPr="00DC134A">
        <w:rPr>
          <w:rFonts w:ascii="Arial" w:hAnsi="Arial" w:cs="Arial"/>
          <w:sz w:val="16"/>
          <w:szCs w:val="16"/>
        </w:rPr>
        <w:t>. SGLT2i: sodium-glucose cotransporter 2 inhibitor</w:t>
      </w:r>
      <w:r>
        <w:rPr>
          <w:rFonts w:ascii="Arial" w:hAnsi="Arial" w:cs="Arial"/>
          <w:sz w:val="16"/>
          <w:szCs w:val="16"/>
        </w:rPr>
        <w:t>s.</w:t>
      </w:r>
      <w:r w:rsidRPr="00DC134A">
        <w:rPr>
          <w:rFonts w:ascii="Times New Roman" w:hAnsi="Times New Roman"/>
          <w:sz w:val="24"/>
          <w:szCs w:val="24"/>
        </w:rPr>
        <w:t xml:space="preserve"> </w:t>
      </w:r>
    </w:p>
    <w:p w:rsidR="009641A1" w:rsidRDefault="009641A1" w:rsidP="00A50A86">
      <w:pPr>
        <w:wordWrap/>
        <w:spacing w:line="480" w:lineRule="auto"/>
        <w:rPr>
          <w:rFonts w:ascii="Times New Roman" w:hAnsi="Times New Roman"/>
        </w:rPr>
        <w:sectPr w:rsidR="009641A1" w:rsidSect="00E92BE4">
          <w:footerReference w:type="default" r:id="rId7"/>
          <w:pgSz w:w="11906" w:h="16838"/>
          <w:pgMar w:top="1701" w:right="1440" w:bottom="1440" w:left="1440" w:header="851" w:footer="992" w:gutter="0"/>
          <w:cols w:space="425"/>
          <w:docGrid w:linePitch="360"/>
        </w:sectPr>
      </w:pPr>
    </w:p>
    <w:p w:rsidR="009641A1" w:rsidRPr="00DC134A" w:rsidRDefault="009641A1" w:rsidP="006C60E5">
      <w:pPr>
        <w:rPr>
          <w:rFonts w:ascii="Times New Roman" w:hAnsi="Times New Roman"/>
          <w:sz w:val="24"/>
          <w:szCs w:val="24"/>
        </w:rPr>
      </w:pPr>
      <w:r w:rsidRPr="00DC134A">
        <w:rPr>
          <w:rFonts w:ascii="Times New Roman" w:hAnsi="Times New Roman"/>
          <w:b/>
          <w:sz w:val="24"/>
          <w:szCs w:val="24"/>
        </w:rPr>
        <w:lastRenderedPageBreak/>
        <w:t>Table 1.</w:t>
      </w:r>
      <w:r w:rsidRPr="00DC134A">
        <w:rPr>
          <w:rFonts w:ascii="Times New Roman" w:hAnsi="Times New Roman"/>
          <w:sz w:val="24"/>
          <w:szCs w:val="24"/>
        </w:rPr>
        <w:t xml:space="preserve"> Characteristics of </w:t>
      </w:r>
      <w:r>
        <w:rPr>
          <w:rFonts w:ascii="Times New Roman" w:hAnsi="Times New Roman"/>
          <w:sz w:val="24"/>
          <w:szCs w:val="24"/>
        </w:rPr>
        <w:t xml:space="preserve">the </w:t>
      </w:r>
      <w:r w:rsidRPr="00DC134A">
        <w:rPr>
          <w:rFonts w:ascii="Times New Roman" w:hAnsi="Times New Roman"/>
          <w:sz w:val="24"/>
          <w:szCs w:val="24"/>
        </w:rPr>
        <w:t xml:space="preserve">study population categorized based on the use of SGLT2i or GLP1RA. </w:t>
      </w:r>
    </w:p>
    <w:tbl>
      <w:tblPr>
        <w:tblW w:w="13575" w:type="dxa"/>
        <w:tblLook w:val="00A0" w:firstRow="1" w:lastRow="0" w:firstColumn="1" w:lastColumn="0" w:noHBand="0" w:noVBand="0"/>
      </w:tblPr>
      <w:tblGrid>
        <w:gridCol w:w="1808"/>
        <w:gridCol w:w="1258"/>
        <w:gridCol w:w="1344"/>
        <w:gridCol w:w="1393"/>
        <w:gridCol w:w="792"/>
        <w:gridCol w:w="1349"/>
        <w:gridCol w:w="1349"/>
        <w:gridCol w:w="792"/>
        <w:gridCol w:w="1349"/>
        <w:gridCol w:w="1349"/>
        <w:gridCol w:w="792"/>
      </w:tblGrid>
      <w:tr w:rsidR="009641A1" w:rsidRPr="00DC134A" w:rsidTr="007E73E6">
        <w:trPr>
          <w:cantSplit/>
          <w:trHeight w:val="278"/>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p>
        </w:tc>
        <w:tc>
          <w:tcPr>
            <w:tcW w:w="1258" w:type="dxa"/>
            <w:tcBorders>
              <w:top w:val="single" w:sz="4" w:space="0" w:color="auto"/>
            </w:tcBorders>
          </w:tcPr>
          <w:p w:rsidR="009641A1" w:rsidRPr="00DC134A" w:rsidRDefault="009641A1" w:rsidP="007E73E6">
            <w:pPr>
              <w:wordWrap/>
              <w:spacing w:after="0" w:line="200" w:lineRule="atLeast"/>
              <w:jc w:val="center"/>
              <w:rPr>
                <w:rFonts w:ascii="Arial" w:hAnsi="Arial" w:cs="Arial"/>
                <w:b/>
                <w:bCs/>
                <w:sz w:val="16"/>
                <w:szCs w:val="16"/>
              </w:rPr>
            </w:pPr>
          </w:p>
        </w:tc>
        <w:tc>
          <w:tcPr>
            <w:tcW w:w="2737" w:type="dxa"/>
            <w:gridSpan w:val="2"/>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r w:rsidRPr="00DC134A">
              <w:rPr>
                <w:rFonts w:ascii="Arial" w:hAnsi="Arial" w:cs="Arial"/>
                <w:b/>
                <w:sz w:val="16"/>
                <w:szCs w:val="16"/>
              </w:rPr>
              <w:t>SGLT2i</w:t>
            </w: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p>
        </w:tc>
        <w:tc>
          <w:tcPr>
            <w:tcW w:w="2698" w:type="dxa"/>
            <w:gridSpan w:val="2"/>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r w:rsidRPr="00DC134A">
              <w:rPr>
                <w:rFonts w:ascii="Arial" w:hAnsi="Arial" w:cs="Arial"/>
                <w:b/>
                <w:bCs/>
                <w:sz w:val="16"/>
                <w:szCs w:val="16"/>
              </w:rPr>
              <w:t>GLP1RA</w:t>
            </w: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p>
        </w:tc>
        <w:tc>
          <w:tcPr>
            <w:tcW w:w="2698" w:type="dxa"/>
            <w:gridSpan w:val="2"/>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r w:rsidRPr="00DC134A">
              <w:rPr>
                <w:rFonts w:ascii="Arial" w:hAnsi="Arial" w:cs="Arial"/>
                <w:b/>
                <w:bCs/>
                <w:sz w:val="16"/>
                <w:szCs w:val="16"/>
              </w:rPr>
              <w:t>SGLT2i or GLP1RA</w:t>
            </w: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p>
        </w:tc>
      </w:tr>
      <w:tr w:rsidR="009641A1" w:rsidRPr="00DC134A" w:rsidTr="007E73E6">
        <w:trPr>
          <w:cantSplit/>
          <w:trHeight w:val="278"/>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b/>
                <w:bCs/>
                <w:i/>
                <w:sz w:val="16"/>
                <w:szCs w:val="16"/>
              </w:rPr>
            </w:pPr>
            <w:r w:rsidRPr="00DC134A">
              <w:rPr>
                <w:rFonts w:ascii="Arial" w:hAnsi="Arial" w:cs="Arial"/>
                <w:b/>
                <w:i/>
                <w:sz w:val="16"/>
                <w:szCs w:val="16"/>
              </w:rPr>
              <w:t xml:space="preserve">N </w:t>
            </w:r>
            <w:r w:rsidRPr="00DC134A">
              <w:rPr>
                <w:rFonts w:ascii="Arial" w:hAnsi="Arial" w:cs="Arial"/>
                <w:b/>
                <w:sz w:val="16"/>
                <w:szCs w:val="16"/>
              </w:rPr>
              <w:t>(%)</w:t>
            </w:r>
          </w:p>
        </w:tc>
        <w:tc>
          <w:tcPr>
            <w:tcW w:w="1344"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r w:rsidRPr="00DC134A">
              <w:rPr>
                <w:rFonts w:ascii="Arial" w:hAnsi="Arial" w:cs="Arial"/>
                <w:b/>
                <w:bCs/>
                <w:sz w:val="16"/>
                <w:szCs w:val="16"/>
              </w:rPr>
              <w:t xml:space="preserve">Nonusers </w:t>
            </w:r>
            <w:r w:rsidRPr="00DC134A">
              <w:rPr>
                <w:rFonts w:ascii="Arial" w:hAnsi="Arial" w:cs="Arial"/>
                <w:b/>
                <w:sz w:val="16"/>
                <w:szCs w:val="16"/>
              </w:rPr>
              <w:t>(%)</w:t>
            </w:r>
          </w:p>
        </w:tc>
        <w:tc>
          <w:tcPr>
            <w:tcW w:w="1393"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bCs/>
                <w:sz w:val="16"/>
                <w:szCs w:val="16"/>
              </w:rPr>
            </w:pPr>
            <w:r w:rsidRPr="00DC134A">
              <w:rPr>
                <w:rFonts w:ascii="Arial" w:hAnsi="Arial" w:cs="Arial"/>
                <w:b/>
                <w:bCs/>
                <w:sz w:val="16"/>
                <w:szCs w:val="16"/>
              </w:rPr>
              <w:t xml:space="preserve">Users </w:t>
            </w:r>
            <w:r w:rsidRPr="00DC134A">
              <w:rPr>
                <w:rFonts w:ascii="Arial" w:hAnsi="Arial" w:cs="Arial"/>
                <w:b/>
                <w:sz w:val="16"/>
                <w:szCs w:val="16"/>
              </w:rPr>
              <w:t>(%)</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i/>
                <w:sz w:val="16"/>
                <w:szCs w:val="16"/>
              </w:rPr>
              <w:t xml:space="preserve">p </w:t>
            </w:r>
            <w:r w:rsidRPr="00DC134A">
              <w:rPr>
                <w:rFonts w:ascii="Arial" w:hAnsi="Arial" w:cs="Arial"/>
                <w:b/>
                <w:sz w:val="16"/>
                <w:szCs w:val="16"/>
              </w:rPr>
              <w:t>value</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sz w:val="16"/>
                <w:szCs w:val="16"/>
              </w:rPr>
              <w:t>Nonusers (%)</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sz w:val="16"/>
                <w:szCs w:val="16"/>
              </w:rPr>
              <w:t>Users (%)</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i/>
                <w:sz w:val="16"/>
                <w:szCs w:val="16"/>
              </w:rPr>
              <w:t xml:space="preserve">p </w:t>
            </w:r>
            <w:r w:rsidRPr="00DC134A">
              <w:rPr>
                <w:rFonts w:ascii="Arial" w:hAnsi="Arial" w:cs="Arial"/>
                <w:b/>
                <w:sz w:val="16"/>
                <w:szCs w:val="16"/>
              </w:rPr>
              <w:t>value</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sz w:val="16"/>
                <w:szCs w:val="16"/>
              </w:rPr>
              <w:t>Nonusers (%)</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sz w:val="16"/>
                <w:szCs w:val="16"/>
              </w:rPr>
              <w:t>Users (%)</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b/>
                <w:sz w:val="16"/>
                <w:szCs w:val="16"/>
              </w:rPr>
            </w:pPr>
            <w:r w:rsidRPr="00DC134A">
              <w:rPr>
                <w:rFonts w:ascii="Arial" w:hAnsi="Arial" w:cs="Arial"/>
                <w:b/>
                <w:i/>
                <w:sz w:val="16"/>
                <w:szCs w:val="16"/>
              </w:rPr>
              <w:t>p</w:t>
            </w:r>
            <w:r w:rsidRPr="00DC134A">
              <w:rPr>
                <w:rFonts w:ascii="Arial" w:hAnsi="Arial" w:cs="Arial"/>
                <w:b/>
                <w:sz w:val="16"/>
                <w:szCs w:val="16"/>
              </w:rPr>
              <w:t xml:space="preserve"> value</w:t>
            </w:r>
          </w:p>
        </w:tc>
      </w:tr>
      <w:tr w:rsidR="009641A1" w:rsidRPr="00DC134A" w:rsidTr="007E73E6">
        <w:trPr>
          <w:cantSplit/>
          <w:trHeight w:val="283"/>
        </w:trPr>
        <w:tc>
          <w:tcPr>
            <w:tcW w:w="1808" w:type="dxa"/>
            <w:tcBorders>
              <w:top w:val="single" w:sz="4" w:space="0" w:color="auto"/>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Total</w:t>
            </w:r>
          </w:p>
        </w:tc>
        <w:tc>
          <w:tcPr>
            <w:tcW w:w="1258" w:type="dxa"/>
            <w:tcBorders>
              <w:top w:val="single" w:sz="4" w:space="0" w:color="auto"/>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57 576</w:t>
            </w:r>
          </w:p>
        </w:tc>
        <w:tc>
          <w:tcPr>
            <w:tcW w:w="1344"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54 211 (94.16)</w:t>
            </w:r>
          </w:p>
        </w:tc>
        <w:tc>
          <w:tcPr>
            <w:tcW w:w="1393"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3 365 (5.84)</w:t>
            </w:r>
          </w:p>
        </w:tc>
        <w:tc>
          <w:tcPr>
            <w:tcW w:w="792"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57 292 (99.51)</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284 (0.49)</w:t>
            </w:r>
          </w:p>
        </w:tc>
        <w:tc>
          <w:tcPr>
            <w:tcW w:w="792"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53 935 (93.68)</w:t>
            </w:r>
          </w:p>
        </w:tc>
        <w:tc>
          <w:tcPr>
            <w:tcW w:w="1349"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3 641 (6.32)</w:t>
            </w:r>
          </w:p>
        </w:tc>
        <w:tc>
          <w:tcPr>
            <w:tcW w:w="792" w:type="dxa"/>
            <w:tcBorders>
              <w:top w:val="single" w:sz="4" w:space="0" w:color="auto"/>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AGE</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20-39</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635 (1.10)</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523 (82.36)</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112 (17.64)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620 (97.64)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15 (2.36)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508 (80.00)</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127 (20.00)</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40-49</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3 273 (5.69)</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2 851 (87.11)</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422 (12.89)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3 229 (98.66)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44 (1.34)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2 809 (85.82)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464 (14.18)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50-59</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11 316 (19.65)</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10 221 (90.32)</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1 095 (9.68)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11 231 (99.25)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85 (0.75)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10 138 (89.59)</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1 178 (10.41)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60-69</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17 611 (30.59)</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16 558 (94.02)</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1 053 (5.98)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17 528 (99.53)</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83 (0.47)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16 477 (93.56)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1 134 (6.44)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≥70</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24 741 (42.97)</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24 058 (97.24)</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683 (2.76)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24 684 (99.77)</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57 (0.23)</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24 003 (97.02)</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738 (2.98)</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SEX</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0.700</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Male</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30 861 (53.6</w:t>
            </w:r>
            <w:r>
              <w:rPr>
                <w:rFonts w:ascii="Arial" w:hAnsi="Arial" w:cs="Arial"/>
                <w:sz w:val="16"/>
                <w:szCs w:val="16"/>
              </w:rPr>
              <w:t>0</w:t>
            </w:r>
            <w:r w:rsidRPr="00DC134A">
              <w:rPr>
                <w:rFonts w:ascii="Arial" w:hAnsi="Arial" w:cs="Arial"/>
                <w:sz w:val="16"/>
                <w:szCs w:val="16"/>
              </w:rPr>
              <w:t>)</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28 888 (93.61)</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1 973 (6.39)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30 712 (99.52)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149 (0.48)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28 741 (93.13)</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2 120 (6.87)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Female</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26 715 (46.4</w:t>
            </w:r>
            <w:r>
              <w:rPr>
                <w:rFonts w:ascii="Arial" w:hAnsi="Arial" w:cs="Arial"/>
                <w:sz w:val="16"/>
                <w:szCs w:val="16"/>
              </w:rPr>
              <w:t>0</w:t>
            </w:r>
            <w:r w:rsidRPr="00DC134A">
              <w:rPr>
                <w:rFonts w:ascii="Arial" w:hAnsi="Arial" w:cs="Arial"/>
                <w:sz w:val="16"/>
                <w:szCs w:val="16"/>
              </w:rPr>
              <w:t>)</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25 323 (94.79)</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1 392 (5.21)</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26 580 (99.50)</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135 (0.5</w:t>
            </w:r>
            <w:r>
              <w:rPr>
                <w:rFonts w:ascii="Arial" w:hAnsi="Arial" w:cs="Arial"/>
                <w:sz w:val="16"/>
                <w:szCs w:val="16"/>
              </w:rPr>
              <w:t>0</w:t>
            </w:r>
            <w:r w:rsidRPr="00DC134A">
              <w:rPr>
                <w:rFonts w:ascii="Arial" w:hAnsi="Arial" w:cs="Arial"/>
                <w:sz w:val="16"/>
                <w:szCs w:val="16"/>
              </w:rPr>
              <w:t>)</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25 194 (94.31)</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1 521 (5.69)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Institution</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Tertiary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9 854 (17.12)</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9 129 (92.64)</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725 (7.36)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9 788 (99.33)</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66 (0.67)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9 064 (91.98)</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790 (8.02)</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General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15 345 (26.65)</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14 337 (93.43)</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1 008 (6.57)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15 240 (99.32)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105 (0.68)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14 234 (92.76)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1 111 (7.24)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Hospital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3 950 (6.86)</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3 760 (95.19)</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190 (4.81)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3 934 (99.60)</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16 (0.4</w:t>
            </w:r>
            <w:r>
              <w:rPr>
                <w:rFonts w:ascii="Arial" w:hAnsi="Arial" w:cs="Arial"/>
                <w:sz w:val="16"/>
                <w:szCs w:val="16"/>
              </w:rPr>
              <w:t>0</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3 746 (94.84)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204 (5.17)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Clinic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27 146 (</w:t>
            </w:r>
            <w:r>
              <w:rPr>
                <w:rFonts w:ascii="Arial" w:hAnsi="Arial" w:cs="Arial"/>
                <w:sz w:val="16"/>
                <w:szCs w:val="16"/>
              </w:rPr>
              <w:t>47.15</w:t>
            </w:r>
            <w:r w:rsidRPr="00DC134A">
              <w:rPr>
                <w:rFonts w:ascii="Arial" w:hAnsi="Arial" w:cs="Arial"/>
                <w:sz w:val="16"/>
                <w:szCs w:val="16"/>
              </w:rPr>
              <w:t>)</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25 732 (94.79)</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1 414 (5.21)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27 049 (99.64)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97 (0.36)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25 638 (94.45)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1 508 (5.5</w:t>
            </w:r>
            <w:r>
              <w:rPr>
                <w:rFonts w:ascii="Arial" w:hAnsi="Arial" w:cs="Arial"/>
                <w:sz w:val="16"/>
                <w:szCs w:val="16"/>
              </w:rPr>
              <w:t>5</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Others </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1 281 (</w:t>
            </w:r>
            <w:r>
              <w:rPr>
                <w:rFonts w:ascii="Arial" w:hAnsi="Arial" w:cs="Arial"/>
                <w:sz w:val="16"/>
                <w:szCs w:val="16"/>
              </w:rPr>
              <w:t>2.22</w:t>
            </w:r>
            <w:r w:rsidRPr="00DC134A">
              <w:rPr>
                <w:rFonts w:ascii="Arial" w:hAnsi="Arial" w:cs="Arial"/>
                <w:sz w:val="16"/>
                <w:szCs w:val="16"/>
              </w:rPr>
              <w:t>)</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1 253 (97.81)</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(2.19)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1 281 (100)</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 (0)</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1 253 (97.81)</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(2.19)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Insurance</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0.002</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0.419</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0.006</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NHI</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52 290 (90.82)</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49 183 (94.06)</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3 107 (5.94)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52 036 (99.51)</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254 (0.49)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48 937 (93.59)</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3 353 (6.41)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MedAid/PVI</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5 286 (9.18)</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5 028 (95.12)</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258 (4.88)</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5 256 (99.43)</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30 (0.57)</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4 998 (94.55)</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288 (5.45)</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Region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0.004</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Capital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13 375 (23.23)</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12 536 (93.73)</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839 (6.27)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13 282 (99.31)</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93 (0.</w:t>
            </w:r>
            <w:r>
              <w:rPr>
                <w:rFonts w:ascii="Arial" w:hAnsi="Arial" w:cs="Arial"/>
                <w:sz w:val="16"/>
                <w:szCs w:val="16"/>
              </w:rPr>
              <w:t>69</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12 445 (93.05)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930 (6.95)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Metropolitans</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14 673 (25.49)</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13 782 (93.93)</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891 (6.07)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14 606 (99.54)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67 (0.46)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13 717 (93.49)</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956 (6.5</w:t>
            </w:r>
            <w:r>
              <w:rPr>
                <w:rFonts w:ascii="Arial" w:hAnsi="Arial" w:cs="Arial"/>
                <w:sz w:val="16"/>
                <w:szCs w:val="16"/>
              </w:rPr>
              <w:t>1</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Others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29 528 (51.2</w:t>
            </w:r>
            <w:r>
              <w:rPr>
                <w:rFonts w:ascii="Arial" w:hAnsi="Arial" w:cs="Arial"/>
                <w:sz w:val="16"/>
                <w:szCs w:val="16"/>
              </w:rPr>
              <w:t>8</w:t>
            </w:r>
            <w:r w:rsidRPr="00DC134A">
              <w:rPr>
                <w:rFonts w:ascii="Arial" w:hAnsi="Arial" w:cs="Arial"/>
                <w:sz w:val="16"/>
                <w:szCs w:val="16"/>
              </w:rPr>
              <w:t>)</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27 893 (94.46)</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1 635 (5.54)</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29 404 (99.58)</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124 (0.42)</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27 773 (94.06)</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1 755 (5.94)</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Dyslipidemia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11 789 (20.48)</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11 348 (96.26)</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441 (3.74)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11 761 (99.76)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(0.24)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11 320 (96.02)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469 (3.98)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lastRenderedPageBreak/>
              <w:t xml:space="preserve"> Yes </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45 787 (79.52)</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42 863 (93.61)</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2 924 (6.39)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45 531 (99.44)</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256 (0.56)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42 615 (93.07)</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3 172 (6.93)</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Heart failure</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0.012</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0.299</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0.007</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50 432 (87.59)</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47 531 (94.25)</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2 901 (5.75)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50 189 (99.52)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243 (0.48)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47 295 (93.78)</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3 137 (6.22)</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7 144 (12.41)</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6 680 (93.51)</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464 (6.</w:t>
            </w:r>
            <w:r>
              <w:rPr>
                <w:rFonts w:ascii="Arial" w:hAnsi="Arial" w:cs="Arial"/>
                <w:sz w:val="16"/>
                <w:szCs w:val="16"/>
              </w:rPr>
              <w:t>49</w:t>
            </w:r>
            <w:r w:rsidRPr="00DC134A">
              <w:rPr>
                <w:rFonts w:ascii="Arial" w:hAnsi="Arial" w:cs="Arial"/>
                <w:sz w:val="16"/>
                <w:szCs w:val="16"/>
              </w:rPr>
              <w:t>)</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7 103 (99.43)</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41 (0.57)</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6 640 (92.95)</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504 (7.0</w:t>
            </w:r>
            <w:r>
              <w:rPr>
                <w:rFonts w:ascii="Arial" w:hAnsi="Arial" w:cs="Arial"/>
                <w:sz w:val="16"/>
                <w:szCs w:val="16"/>
              </w:rPr>
              <w:t>5</w:t>
            </w:r>
            <w:r w:rsidRPr="00DC134A">
              <w:rPr>
                <w:rFonts w:ascii="Arial" w:hAnsi="Arial" w:cs="Arial"/>
                <w:sz w:val="16"/>
                <w:szCs w:val="16"/>
              </w:rPr>
              <w:t>)</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CKD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0.040</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54 490 (94.64)</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51 207 (93.98)</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3 283 (6.0</w:t>
            </w:r>
            <w:r>
              <w:rPr>
                <w:rFonts w:ascii="Arial" w:hAnsi="Arial" w:cs="Arial"/>
                <w:sz w:val="16"/>
                <w:szCs w:val="16"/>
              </w:rPr>
              <w:t>2</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54 229 (99.52)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261 (0.48)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50 954 (93.51)</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3 536 (6.49)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3 086 (5.36)</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3 004 (97.34)</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82 (2.66)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3 063 (99.26)</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23 (0.7</w:t>
            </w:r>
            <w:r>
              <w:rPr>
                <w:rFonts w:ascii="Arial" w:hAnsi="Arial" w:cs="Arial"/>
                <w:sz w:val="16"/>
                <w:szCs w:val="16"/>
              </w:rPr>
              <w:t>4</w:t>
            </w:r>
            <w:r w:rsidRPr="00DC134A">
              <w:rPr>
                <w:rFonts w:ascii="Arial" w:hAnsi="Arial" w:cs="Arial"/>
                <w:sz w:val="16"/>
                <w:szCs w:val="16"/>
              </w:rPr>
              <w:t>)</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2 981 (96.60)</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105 (3.40)</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Hypertension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0.128</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0.427</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0.076</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14 438 (25.08)</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13 557 (93.90)</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881 (6.10)</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14 361 (99.47)</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77 (0.53)</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13 480 (93.37)</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958 (6.6</w:t>
            </w:r>
            <w:r>
              <w:rPr>
                <w:rFonts w:ascii="Arial" w:hAnsi="Arial" w:cs="Arial"/>
                <w:sz w:val="16"/>
                <w:szCs w:val="16"/>
              </w:rPr>
              <w:t>3</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43 138 (74.92)</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40 654 (94.24)</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2 484 (5.76)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42 931 (99.52)</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207 (0.48)</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40 455 (93.78)</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2 683 (6.22)</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ACEi/ARB</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0.006</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0.981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0.010</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26 315 (45.71)</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24 854 (94.45)</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1 461 (5.55)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26 185 (99.51)</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130 (0.49)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24 726 (93.96)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1 589 (6.04)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31 261 (54</w:t>
            </w:r>
            <w:r>
              <w:rPr>
                <w:rFonts w:ascii="Arial" w:hAnsi="Arial" w:cs="Arial"/>
                <w:sz w:val="16"/>
                <w:szCs w:val="16"/>
              </w:rPr>
              <w:t>.29</w:t>
            </w:r>
            <w:r w:rsidRPr="00DC134A">
              <w:rPr>
                <w:rFonts w:ascii="Arial" w:hAnsi="Arial" w:cs="Arial"/>
                <w:sz w:val="16"/>
                <w:szCs w:val="16"/>
              </w:rPr>
              <w:t>)</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29 357 (93.91)</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1 904 (6.09)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31 107 (99.51)</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154 (0.49)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29 209 (93.44)</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2 052 (6.56)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Statin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21 130 (36.70)</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20 212 (95.66)</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918 (4.3</w:t>
            </w:r>
            <w:r>
              <w:rPr>
                <w:rFonts w:ascii="Arial" w:hAnsi="Arial" w:cs="Arial"/>
                <w:sz w:val="16"/>
                <w:szCs w:val="16"/>
              </w:rPr>
              <w:t>4</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21 058 (96.66)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72 (0.34)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20 140 (95.32)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990 (4.6</w:t>
            </w:r>
            <w:r>
              <w:rPr>
                <w:rFonts w:ascii="Arial" w:hAnsi="Arial" w:cs="Arial"/>
                <w:sz w:val="16"/>
                <w:szCs w:val="16"/>
              </w:rPr>
              <w:t>8</w:t>
            </w:r>
            <w:r w:rsidRPr="00DC134A">
              <w:rPr>
                <w:rFonts w:ascii="Arial" w:hAnsi="Arial" w:cs="Arial"/>
                <w:sz w:val="16"/>
                <w:szCs w:val="16"/>
              </w:rPr>
              <w:t>)</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 </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36 446 (63.30)</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33 999 (93.29)</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2 447 (6.71)</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36 234 (99.42)</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212 (0.58)</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33 795 (92.73)</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2 651 (7.27)</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DPP4i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24 172 (41.98)</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21 302 (88.13)</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2 870 (11.87)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23 928 (98.99)</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244 (1.01)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21 065 (87.15)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3 107 (12.85)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 </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33 404 (58.02)</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32 909 (98.52)</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495 (1.48)</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33 364 (99.88)</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40 (0.12)</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32 870 (98.40)</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534 (1.60)</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 xml:space="preserve">SU </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0.004</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No </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34 111 (59.25)</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32 198 (94.39)</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1 913 (5.61)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33 991 (99.65)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120 (0.35)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32 080 (94.05)</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2 031 (5.95)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23 465 (40.7</w:t>
            </w:r>
            <w:r>
              <w:rPr>
                <w:rFonts w:ascii="Arial" w:hAnsi="Arial" w:cs="Arial"/>
                <w:sz w:val="16"/>
                <w:szCs w:val="16"/>
              </w:rPr>
              <w:t>5</w:t>
            </w:r>
            <w:r w:rsidRPr="00DC134A">
              <w:rPr>
                <w:rFonts w:ascii="Arial" w:hAnsi="Arial" w:cs="Arial"/>
                <w:sz w:val="16"/>
                <w:szCs w:val="16"/>
              </w:rPr>
              <w:t>)</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22 013 (93.81)</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1 452 (6.19)</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23 301 (99.30)</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164 (0.70)</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21 855 (93.14)</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1 610 (6.86)</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Insulin</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0.109</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0.006</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No</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50 976 (88.54)</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47 968 (94.10)</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3 008 (5.90)</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50 807 (99.67)</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169 (0.33)</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47 804 (93.78)</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3 172 (6.22)</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Yes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6 600 (11.46)</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6 243 (94.59)</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357 (5.41)</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6 485 (98.26)</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115 (1.74)</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6 131 (92.89)</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469 (1.11)</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top w:val="single" w:sz="4" w:space="0" w:color="auto"/>
            </w:tcBorders>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
                <w:bCs/>
                <w:sz w:val="16"/>
                <w:szCs w:val="16"/>
              </w:rPr>
              <w:t>Physician specialty</w:t>
            </w:r>
          </w:p>
        </w:tc>
        <w:tc>
          <w:tcPr>
            <w:tcW w:w="1258" w:type="dxa"/>
            <w:tcBorders>
              <w:top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p>
        </w:tc>
        <w:tc>
          <w:tcPr>
            <w:tcW w:w="1344"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93"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792" w:type="dxa"/>
            <w:tcBorders>
              <w:top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&lt; 0.001</w:t>
            </w: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Cardiologists</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4 498 (7.81)</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4 064 (90.35)</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434 (9.65)</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4 491 (99.84)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7 (0.16)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4 057 (90.20)</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441 (9.80)</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Endocrinologists</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13 213 (22.95)</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12 266 (92.83)</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947 (7.17)</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13 080 (98.99)</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133 (1.01)</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12 135 (91.84)</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1 078 (8.16)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t xml:space="preserve"> Nephrologists</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1 287 (2.2</w:t>
            </w:r>
            <w:r>
              <w:rPr>
                <w:rFonts w:ascii="Arial" w:hAnsi="Arial" w:cs="Arial"/>
                <w:sz w:val="16"/>
                <w:szCs w:val="16"/>
              </w:rPr>
              <w:t>3</w:t>
            </w:r>
            <w:r w:rsidRPr="00DC134A">
              <w:rPr>
                <w:rFonts w:ascii="Arial" w:hAnsi="Arial" w:cs="Arial"/>
                <w:sz w:val="16"/>
                <w:szCs w:val="16"/>
              </w:rPr>
              <w:t>)</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1 236 (96.04)</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51 (3.96)</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1 277 (99.22)</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 (0.78)</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1 226 (95.26)</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61 (4.74)</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vAlign w:val="center"/>
          </w:tcPr>
          <w:p w:rsidR="009641A1" w:rsidRPr="00DC134A" w:rsidRDefault="009641A1" w:rsidP="007E73E6">
            <w:pPr>
              <w:wordWrap/>
              <w:spacing w:after="0" w:line="200" w:lineRule="atLeast"/>
              <w:rPr>
                <w:rFonts w:ascii="Arial" w:hAnsi="Arial" w:cs="Arial"/>
                <w:b/>
                <w:bCs/>
                <w:sz w:val="16"/>
                <w:szCs w:val="16"/>
              </w:rPr>
            </w:pPr>
            <w:r w:rsidRPr="00DC134A">
              <w:rPr>
                <w:rFonts w:ascii="Arial" w:hAnsi="Arial" w:cs="Arial"/>
                <w:bCs/>
                <w:sz w:val="16"/>
                <w:szCs w:val="16"/>
              </w:rPr>
              <w:lastRenderedPageBreak/>
              <w:t xml:space="preserve"> Other internists</w:t>
            </w:r>
          </w:p>
        </w:tc>
        <w:tc>
          <w:tcPr>
            <w:tcW w:w="1258" w:type="dxa"/>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25 009 (43.44)</w:t>
            </w:r>
          </w:p>
        </w:tc>
        <w:tc>
          <w:tcPr>
            <w:tcW w:w="1344"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23 612 (94.41)</w:t>
            </w:r>
          </w:p>
        </w:tc>
        <w:tc>
          <w:tcPr>
            <w:tcW w:w="1393"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1 397 (5.59)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24 903 (99.58)</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106 (0.42)</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23 511 (94.01)</w:t>
            </w:r>
          </w:p>
        </w:tc>
        <w:tc>
          <w:tcPr>
            <w:tcW w:w="1349" w:type="dxa"/>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1 498 (5.99)</w:t>
            </w:r>
          </w:p>
        </w:tc>
        <w:tc>
          <w:tcPr>
            <w:tcW w:w="792" w:type="dxa"/>
            <w:vAlign w:val="center"/>
          </w:tcPr>
          <w:p w:rsidR="009641A1" w:rsidRPr="00DC134A" w:rsidRDefault="009641A1" w:rsidP="007E73E6">
            <w:pPr>
              <w:wordWrap/>
              <w:spacing w:after="0" w:line="200" w:lineRule="atLeast"/>
              <w:jc w:val="center"/>
              <w:rPr>
                <w:rFonts w:ascii="Arial" w:hAnsi="Arial" w:cs="Arial"/>
                <w:sz w:val="16"/>
                <w:szCs w:val="16"/>
              </w:rPr>
            </w:pPr>
          </w:p>
        </w:tc>
      </w:tr>
      <w:tr w:rsidR="009641A1" w:rsidRPr="00DC134A" w:rsidTr="007E73E6">
        <w:trPr>
          <w:cantSplit/>
          <w:trHeight w:val="283"/>
        </w:trPr>
        <w:tc>
          <w:tcPr>
            <w:tcW w:w="1808" w:type="dxa"/>
            <w:tcBorders>
              <w:bottom w:val="single" w:sz="4" w:space="0" w:color="auto"/>
            </w:tcBorders>
            <w:vAlign w:val="center"/>
          </w:tcPr>
          <w:p w:rsidR="009641A1" w:rsidRPr="00DC134A" w:rsidRDefault="009641A1" w:rsidP="007E73E6">
            <w:pPr>
              <w:wordWrap/>
              <w:spacing w:after="0" w:line="200" w:lineRule="atLeast"/>
              <w:ind w:firstLineChars="50" w:firstLine="80"/>
              <w:rPr>
                <w:rFonts w:ascii="Arial" w:hAnsi="Arial" w:cs="Arial"/>
                <w:b/>
                <w:bCs/>
                <w:sz w:val="16"/>
                <w:szCs w:val="16"/>
              </w:rPr>
            </w:pPr>
            <w:r w:rsidRPr="00DC134A">
              <w:rPr>
                <w:rFonts w:ascii="Arial" w:hAnsi="Arial" w:cs="Arial"/>
                <w:bCs/>
                <w:sz w:val="16"/>
                <w:szCs w:val="16"/>
              </w:rPr>
              <w:t>Other physicians</w:t>
            </w:r>
          </w:p>
        </w:tc>
        <w:tc>
          <w:tcPr>
            <w:tcW w:w="1258" w:type="dxa"/>
            <w:tcBorders>
              <w:bottom w:val="single" w:sz="4" w:space="0" w:color="auto"/>
            </w:tcBorders>
            <w:vAlign w:val="center"/>
          </w:tcPr>
          <w:p w:rsidR="009641A1" w:rsidRPr="00DC134A" w:rsidRDefault="009641A1" w:rsidP="007E73E6">
            <w:pPr>
              <w:wordWrap/>
              <w:spacing w:after="0" w:line="200" w:lineRule="atLeast"/>
              <w:jc w:val="right"/>
              <w:rPr>
                <w:rFonts w:ascii="Arial" w:hAnsi="Arial" w:cs="Arial"/>
                <w:sz w:val="16"/>
                <w:szCs w:val="16"/>
              </w:rPr>
            </w:pPr>
            <w:r w:rsidRPr="00DC134A">
              <w:rPr>
                <w:rFonts w:ascii="Arial" w:hAnsi="Arial" w:cs="Arial"/>
                <w:sz w:val="16"/>
                <w:szCs w:val="16"/>
              </w:rPr>
              <w:t>13 569 (23.57)</w:t>
            </w:r>
          </w:p>
        </w:tc>
        <w:tc>
          <w:tcPr>
            <w:tcW w:w="1344"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13 033 (96.05)</w:t>
            </w:r>
          </w:p>
        </w:tc>
        <w:tc>
          <w:tcPr>
            <w:tcW w:w="1393"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536 (3.95)</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13 541 (99.79)</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28 (0.21)</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13 006 (95.85)</w:t>
            </w:r>
          </w:p>
        </w:tc>
        <w:tc>
          <w:tcPr>
            <w:tcW w:w="1349"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r w:rsidRPr="00DC134A">
              <w:rPr>
                <w:rFonts w:ascii="Arial" w:hAnsi="Arial" w:cs="Arial"/>
                <w:sz w:val="16"/>
                <w:szCs w:val="16"/>
              </w:rPr>
              <w:t>563 (4.15)</w:t>
            </w:r>
          </w:p>
        </w:tc>
        <w:tc>
          <w:tcPr>
            <w:tcW w:w="792" w:type="dxa"/>
            <w:tcBorders>
              <w:bottom w:val="single" w:sz="4" w:space="0" w:color="auto"/>
            </w:tcBorders>
            <w:vAlign w:val="center"/>
          </w:tcPr>
          <w:p w:rsidR="009641A1" w:rsidRPr="00DC134A" w:rsidRDefault="009641A1" w:rsidP="007E73E6">
            <w:pPr>
              <w:wordWrap/>
              <w:spacing w:after="0" w:line="200" w:lineRule="atLeast"/>
              <w:jc w:val="center"/>
              <w:rPr>
                <w:rFonts w:ascii="Arial" w:hAnsi="Arial" w:cs="Arial"/>
                <w:sz w:val="16"/>
                <w:szCs w:val="16"/>
              </w:rPr>
            </w:pPr>
          </w:p>
        </w:tc>
      </w:tr>
    </w:tbl>
    <w:p w:rsidR="009641A1" w:rsidRPr="00DC134A" w:rsidRDefault="009641A1" w:rsidP="006C60E5">
      <w:pPr>
        <w:wordWrap/>
        <w:spacing w:after="0" w:line="200" w:lineRule="atLeast"/>
        <w:ind w:firstLineChars="100" w:firstLine="160"/>
        <w:rPr>
          <w:rFonts w:ascii="Arial" w:hAnsi="Arial" w:cs="Arial"/>
          <w:sz w:val="16"/>
          <w:szCs w:val="16"/>
        </w:rPr>
      </w:pPr>
      <w:bookmarkStart w:id="6" w:name="_Hlk144476866"/>
      <w:r w:rsidRPr="00DC134A">
        <w:rPr>
          <w:rFonts w:ascii="Arial" w:hAnsi="Arial" w:cs="Arial"/>
          <w:sz w:val="16"/>
          <w:szCs w:val="16"/>
        </w:rPr>
        <w:t>SGLT2i, sodium-glucose cotransporter 2 inhibitor</w:t>
      </w:r>
      <w:r>
        <w:rPr>
          <w:rFonts w:ascii="Arial" w:hAnsi="Arial" w:cs="Arial" w:hint="eastAsia"/>
          <w:sz w:val="16"/>
          <w:szCs w:val="16"/>
        </w:rPr>
        <w:t>s</w:t>
      </w:r>
      <w:r w:rsidRPr="00DC134A">
        <w:rPr>
          <w:rFonts w:ascii="Arial" w:hAnsi="Arial" w:cs="Arial"/>
          <w:sz w:val="16"/>
          <w:szCs w:val="16"/>
        </w:rPr>
        <w:t xml:space="preserve">; GLP1RA: </w:t>
      </w:r>
      <w:r>
        <w:rPr>
          <w:rFonts w:ascii="Arial" w:hAnsi="Arial" w:cs="Arial"/>
          <w:sz w:val="16"/>
          <w:szCs w:val="16"/>
        </w:rPr>
        <w:t>g</w:t>
      </w:r>
      <w:r w:rsidRPr="00DC134A">
        <w:rPr>
          <w:rFonts w:ascii="Arial" w:hAnsi="Arial" w:cs="Arial"/>
          <w:sz w:val="16"/>
          <w:szCs w:val="16"/>
        </w:rPr>
        <w:t>lucagon</w:t>
      </w:r>
      <w:r>
        <w:rPr>
          <w:rFonts w:ascii="Arial" w:hAnsi="Arial" w:cs="Arial"/>
          <w:sz w:val="16"/>
          <w:szCs w:val="16"/>
        </w:rPr>
        <w:t xml:space="preserve">-like </w:t>
      </w:r>
      <w:r w:rsidRPr="00DC134A">
        <w:rPr>
          <w:rFonts w:ascii="Arial" w:hAnsi="Arial" w:cs="Arial"/>
          <w:sz w:val="16"/>
          <w:szCs w:val="16"/>
        </w:rPr>
        <w:t xml:space="preserve">peptide-1 receptor </w:t>
      </w:r>
      <w:proofErr w:type="gramStart"/>
      <w:r w:rsidRPr="00DC134A">
        <w:rPr>
          <w:rFonts w:ascii="Arial" w:hAnsi="Arial" w:cs="Arial"/>
          <w:sz w:val="16"/>
          <w:szCs w:val="16"/>
        </w:rPr>
        <w:t>agonist</w:t>
      </w:r>
      <w:bookmarkEnd w:id="6"/>
      <w:r>
        <w:rPr>
          <w:rFonts w:ascii="Arial" w:hAnsi="Arial" w:cs="Arial"/>
          <w:sz w:val="16"/>
          <w:szCs w:val="16"/>
        </w:rPr>
        <w:t>s</w:t>
      </w:r>
      <w:proofErr w:type="gramEnd"/>
      <w:r w:rsidRPr="00DC134A">
        <w:rPr>
          <w:rFonts w:ascii="Arial" w:hAnsi="Arial" w:cs="Arial"/>
          <w:sz w:val="16"/>
          <w:szCs w:val="16"/>
        </w:rPr>
        <w:t xml:space="preserve">; NHI: National Health Insurance, MedAid: Medical Aid, PVI: Patriots and Veterans Insurance, CKD: </w:t>
      </w:r>
      <w:r>
        <w:rPr>
          <w:rFonts w:ascii="Arial" w:hAnsi="Arial" w:cs="Arial"/>
          <w:sz w:val="16"/>
          <w:szCs w:val="16"/>
        </w:rPr>
        <w:t>c</w:t>
      </w:r>
      <w:r w:rsidRPr="00DC134A">
        <w:rPr>
          <w:rFonts w:ascii="Arial" w:hAnsi="Arial" w:cs="Arial"/>
          <w:sz w:val="16"/>
          <w:szCs w:val="16"/>
        </w:rPr>
        <w:t>hronic kidney disease; ACEi/ARB, angiotensin-converting enzyme inhibitors/angiotensin receptor antagonists</w:t>
      </w:r>
      <w:bookmarkStart w:id="7" w:name="_Hlk144476875"/>
      <w:r w:rsidRPr="00DC134A">
        <w:rPr>
          <w:rFonts w:ascii="Arial" w:hAnsi="Arial" w:cs="Arial"/>
          <w:sz w:val="16"/>
          <w:szCs w:val="16"/>
        </w:rPr>
        <w:t>; DPP4i, dipeptidyl</w:t>
      </w:r>
      <w:r>
        <w:rPr>
          <w:rFonts w:ascii="Arial" w:hAnsi="Arial" w:cs="Arial"/>
          <w:sz w:val="16"/>
          <w:szCs w:val="16"/>
        </w:rPr>
        <w:t>-</w:t>
      </w:r>
      <w:r w:rsidRPr="00DC134A">
        <w:rPr>
          <w:rFonts w:ascii="Arial" w:hAnsi="Arial" w:cs="Arial"/>
          <w:sz w:val="16"/>
          <w:szCs w:val="16"/>
        </w:rPr>
        <w:t>peptidase 4 inhibitor</w:t>
      </w:r>
      <w:r>
        <w:rPr>
          <w:rFonts w:ascii="Arial" w:hAnsi="Arial" w:cs="Arial"/>
          <w:sz w:val="16"/>
          <w:szCs w:val="16"/>
        </w:rPr>
        <w:t>s</w:t>
      </w:r>
      <w:r w:rsidRPr="00DC134A">
        <w:rPr>
          <w:rFonts w:ascii="Arial" w:hAnsi="Arial" w:cs="Arial"/>
          <w:sz w:val="16"/>
          <w:szCs w:val="16"/>
        </w:rPr>
        <w:t xml:space="preserve">; SU: </w:t>
      </w:r>
      <w:r>
        <w:rPr>
          <w:rFonts w:ascii="Arial" w:hAnsi="Arial" w:cs="Arial"/>
          <w:sz w:val="16"/>
          <w:szCs w:val="16"/>
        </w:rPr>
        <w:t>s</w:t>
      </w:r>
      <w:r w:rsidRPr="00DC134A">
        <w:rPr>
          <w:rFonts w:ascii="Arial" w:hAnsi="Arial" w:cs="Arial"/>
          <w:sz w:val="16"/>
          <w:szCs w:val="16"/>
        </w:rPr>
        <w:t>ulfonylurea</w:t>
      </w:r>
      <w:r>
        <w:rPr>
          <w:rFonts w:ascii="Arial" w:hAnsi="Arial" w:cs="Arial"/>
          <w:sz w:val="16"/>
          <w:szCs w:val="16"/>
        </w:rPr>
        <w:t>s</w:t>
      </w:r>
      <w:bookmarkEnd w:id="7"/>
      <w:r>
        <w:rPr>
          <w:rFonts w:ascii="Arial" w:hAnsi="Arial" w:cs="Arial"/>
          <w:sz w:val="16"/>
          <w:szCs w:val="16"/>
        </w:rPr>
        <w:t>.</w:t>
      </w:r>
    </w:p>
    <w:p w:rsidR="009641A1" w:rsidRPr="00DC134A" w:rsidRDefault="009641A1" w:rsidP="006C60E5">
      <w:pPr>
        <w:wordWrap/>
        <w:spacing w:after="0" w:line="200" w:lineRule="atLeast"/>
        <w:rPr>
          <w:rFonts w:ascii="Times New Roman" w:hAnsi="Times New Roman"/>
          <w:sz w:val="24"/>
          <w:szCs w:val="24"/>
        </w:rPr>
      </w:pPr>
    </w:p>
    <w:p w:rsidR="009641A1" w:rsidRPr="00DC134A" w:rsidRDefault="009641A1" w:rsidP="006C60E5">
      <w:pPr>
        <w:tabs>
          <w:tab w:val="left" w:pos="720"/>
        </w:tabs>
        <w:rPr>
          <w:rFonts w:ascii="Times New Roman" w:hAnsi="Times New Roman"/>
          <w:sz w:val="24"/>
          <w:szCs w:val="24"/>
        </w:rPr>
        <w:sectPr w:rsidR="009641A1" w:rsidRPr="00DC134A" w:rsidSect="00C252B3">
          <w:pgSz w:w="16838" w:h="11906" w:orient="landscape"/>
          <w:pgMar w:top="1440" w:right="1701" w:bottom="1440" w:left="1440" w:header="851" w:footer="992" w:gutter="0"/>
          <w:cols w:space="425"/>
          <w:docGrid w:linePitch="360"/>
        </w:sectPr>
      </w:pPr>
    </w:p>
    <w:p w:rsidR="009641A1" w:rsidRPr="00DC134A" w:rsidRDefault="009641A1" w:rsidP="006C60E5">
      <w:pPr>
        <w:wordWrap/>
        <w:spacing w:line="480" w:lineRule="auto"/>
        <w:ind w:firstLineChars="100" w:firstLine="240"/>
        <w:rPr>
          <w:rFonts w:ascii="Times New Roman" w:hAnsi="Times New Roman"/>
          <w:sz w:val="24"/>
          <w:szCs w:val="24"/>
        </w:rPr>
      </w:pPr>
      <w:r w:rsidRPr="00DC134A">
        <w:rPr>
          <w:rFonts w:ascii="Times New Roman" w:hAnsi="Times New Roman"/>
          <w:b/>
          <w:sz w:val="24"/>
          <w:szCs w:val="24"/>
        </w:rPr>
        <w:lastRenderedPageBreak/>
        <w:t>Table 2.</w:t>
      </w:r>
      <w:r w:rsidRPr="00DC134A">
        <w:rPr>
          <w:rFonts w:ascii="Times New Roman" w:hAnsi="Times New Roman"/>
          <w:sz w:val="24"/>
          <w:szCs w:val="24"/>
        </w:rPr>
        <w:t xml:space="preserve"> Factors influencing the use of SGLT2i and GLP1RA</w:t>
      </w:r>
    </w:p>
    <w:tbl>
      <w:tblPr>
        <w:tblW w:w="0" w:type="auto"/>
        <w:tblLayout w:type="fixed"/>
        <w:tblLook w:val="00A0" w:firstRow="1" w:lastRow="0" w:firstColumn="1" w:lastColumn="0" w:noHBand="0" w:noVBand="0"/>
      </w:tblPr>
      <w:tblGrid>
        <w:gridCol w:w="2211"/>
        <w:gridCol w:w="1134"/>
        <w:gridCol w:w="1134"/>
        <w:gridCol w:w="1134"/>
        <w:gridCol w:w="1134"/>
        <w:gridCol w:w="1134"/>
        <w:gridCol w:w="1134"/>
      </w:tblGrid>
      <w:tr w:rsidR="009641A1" w:rsidRPr="00DC134A" w:rsidTr="007E73E6">
        <w:trPr>
          <w:trHeight w:val="274"/>
        </w:trPr>
        <w:tc>
          <w:tcPr>
            <w:tcW w:w="2211" w:type="dxa"/>
            <w:vMerge w:val="restart"/>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Times New Roman" w:hAnsi="Times New Roman"/>
                <w:b/>
                <w:bCs/>
                <w:sz w:val="24"/>
                <w:szCs w:val="24"/>
              </w:rPr>
              <w:br w:type="page"/>
            </w:r>
          </w:p>
        </w:tc>
        <w:tc>
          <w:tcPr>
            <w:tcW w:w="2268" w:type="dxa"/>
            <w:gridSpan w:val="2"/>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b/>
                <w:bCs/>
                <w:sz w:val="16"/>
                <w:szCs w:val="16"/>
              </w:rPr>
            </w:pPr>
            <w:r w:rsidRPr="00DC134A">
              <w:rPr>
                <w:rFonts w:ascii="Arial" w:hAnsi="Arial" w:cs="Arial"/>
                <w:b/>
                <w:bCs/>
                <w:sz w:val="16"/>
                <w:szCs w:val="16"/>
              </w:rPr>
              <w:t>SGLT2i use</w:t>
            </w:r>
          </w:p>
        </w:tc>
        <w:tc>
          <w:tcPr>
            <w:tcW w:w="2268" w:type="dxa"/>
            <w:gridSpan w:val="2"/>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b/>
                <w:bCs/>
                <w:sz w:val="16"/>
                <w:szCs w:val="16"/>
              </w:rPr>
            </w:pPr>
            <w:r w:rsidRPr="00DC134A">
              <w:rPr>
                <w:rFonts w:ascii="Arial" w:hAnsi="Arial" w:cs="Arial"/>
                <w:b/>
                <w:bCs/>
                <w:sz w:val="16"/>
                <w:szCs w:val="16"/>
              </w:rPr>
              <w:t>GLP1RA use</w:t>
            </w:r>
          </w:p>
        </w:tc>
        <w:tc>
          <w:tcPr>
            <w:tcW w:w="2268" w:type="dxa"/>
            <w:gridSpan w:val="2"/>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b/>
                <w:bCs/>
                <w:sz w:val="16"/>
                <w:szCs w:val="16"/>
              </w:rPr>
            </w:pPr>
            <w:r w:rsidRPr="00DC134A">
              <w:rPr>
                <w:rFonts w:ascii="Arial" w:hAnsi="Arial" w:cs="Arial"/>
                <w:b/>
                <w:bCs/>
                <w:sz w:val="16"/>
                <w:szCs w:val="16"/>
              </w:rPr>
              <w:t>SGLT2i or GLP1RA use</w:t>
            </w:r>
          </w:p>
        </w:tc>
      </w:tr>
      <w:tr w:rsidR="009641A1" w:rsidRPr="00DC134A" w:rsidTr="007E73E6">
        <w:trPr>
          <w:trHeight w:val="270"/>
        </w:trPr>
        <w:tc>
          <w:tcPr>
            <w:tcW w:w="2211" w:type="dxa"/>
            <w:vMerge/>
            <w:tcBorders>
              <w:bottom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Adj. OR</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97.5 % CI</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Adj. OR</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97.5 % CI</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Adj. OR</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b/>
                <w:sz w:val="16"/>
                <w:szCs w:val="16"/>
              </w:rPr>
              <w:t>97.5 % CI</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AGE</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20-30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40-49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0.73</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0.57-0.93</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0.41-1.41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0.55-0.90</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50-59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0.48</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0.38-0.60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0.23-0.74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0.36-0.56</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60-69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0.26</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0.21-0.33</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0.14-0.44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0.20-0.31</w:t>
            </w: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 70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0.09-0.15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0.07-0.23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0.09-0.13</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SEX</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Male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Female</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0.95-1.10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1.06-1.73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0.97-1.13</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Institution</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Tertiary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General</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0.98</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0.87-1.09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1.23</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0.89-1.71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0.90-1.11</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Hospital</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0.88</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0.71-1.08</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1.35</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0.66-2.7</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0.73-1.11</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Clinic</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0.76-1.04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0.71-2.12</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0.78-1.06</w:t>
            </w: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Others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0.33-0.76</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0.32-0.74</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Insurance</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NHI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MedAid/PVI</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0.88</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0.76-1.00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0.69-1.51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0.78-1.01</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Region</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Capital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Metropolitans</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0.94-1.16</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0.57-1.11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1.02</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0.92-1.13</w:t>
            </w: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Others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0.92-1.12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0.78</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0.59-1.05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0.90-1.09</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Dyslipidemia</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1.41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1.25-1.60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1.68</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1.10-2.66</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1.44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1.28-1.62</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Heart failure</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1.09-1.37</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0.92-1.85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1.11-1.38</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CKD</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0.41-0.66</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0.63-1.69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0.57</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0.46-0.71</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Hypertension</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0.96</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0.87-1.07</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0.67-1.32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0.86-1.06</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ACEi/ARB</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1.13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1.03-1.24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0.76-1.39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1.13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1.03-1.23</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Statin</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1.42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1.29-1.57</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1.63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1.20-2.24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1.45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1.33-1.60</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DPP4i</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0.09-0.10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0.08-0.16</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0.09</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0.08-0.10</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SU</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1.20-1.40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3.13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2.44-4.02</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1.41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1.31-1.51</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Insulin</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No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Yes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0.63</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0.56-0.71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3.71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2.83-4.85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0.80</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0.71-0.90</w:t>
            </w:r>
          </w:p>
        </w:tc>
      </w:tr>
      <w:tr w:rsidR="009641A1" w:rsidRPr="00DC134A" w:rsidTr="007E73E6">
        <w:trPr>
          <w:trHeight w:val="20"/>
        </w:trPr>
        <w:tc>
          <w:tcPr>
            <w:tcW w:w="2211" w:type="dxa"/>
            <w:tcBorders>
              <w:top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Physician specialty</w:t>
            </w: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Endocrinologists (R)</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Cardiologists</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1.22</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1.07-1.40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0.10-0.49</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1.13</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0.99-1.29</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Nephrologists</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0.85</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0.61-1.15</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0.80</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0.37-1.58</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0.62-1.12</w:t>
            </w:r>
          </w:p>
        </w:tc>
      </w:tr>
      <w:tr w:rsidR="009641A1" w:rsidRPr="00DC134A" w:rsidTr="007E73E6">
        <w:trPr>
          <w:trHeight w:val="20"/>
        </w:trPr>
        <w:tc>
          <w:tcPr>
            <w:tcW w:w="2211" w:type="dxa"/>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Other internists</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0.81</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0.70-0.94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0.54</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0.33-0.86</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0.77</w:t>
            </w:r>
          </w:p>
        </w:tc>
        <w:tc>
          <w:tcPr>
            <w:tcW w:w="1134" w:type="dxa"/>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0.67-0.89</w:t>
            </w:r>
          </w:p>
        </w:tc>
      </w:tr>
      <w:tr w:rsidR="009641A1" w:rsidRPr="00DC134A" w:rsidTr="007E73E6">
        <w:trPr>
          <w:trHeight w:val="20"/>
        </w:trPr>
        <w:tc>
          <w:tcPr>
            <w:tcW w:w="2211" w:type="dxa"/>
            <w:tcBorders>
              <w:bottom w:val="single" w:sz="4" w:space="0" w:color="auto"/>
            </w:tcBorders>
            <w:vAlign w:val="center"/>
          </w:tcPr>
          <w:p w:rsidR="009641A1" w:rsidRPr="00DC134A" w:rsidRDefault="009641A1" w:rsidP="007E73E6">
            <w:pPr>
              <w:widowControl/>
              <w:wordWrap/>
              <w:autoSpaceDE/>
              <w:autoSpaceDN/>
              <w:spacing w:after="0" w:line="200" w:lineRule="atLeast"/>
              <w:ind w:firstLineChars="50" w:firstLine="80"/>
              <w:rPr>
                <w:rFonts w:ascii="Arial" w:hAnsi="Arial" w:cs="Arial"/>
                <w:b/>
                <w:bCs/>
                <w:sz w:val="16"/>
                <w:szCs w:val="16"/>
              </w:rPr>
            </w:pPr>
            <w:r w:rsidRPr="00DC134A">
              <w:rPr>
                <w:rFonts w:ascii="Arial" w:hAnsi="Arial" w:cs="Arial"/>
                <w:bCs/>
                <w:sz w:val="16"/>
                <w:szCs w:val="16"/>
              </w:rPr>
              <w:t>Other physicians</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0.46-0.64</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0.31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0.17-0.55</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0.51</w:t>
            </w:r>
          </w:p>
        </w:tc>
        <w:tc>
          <w:tcPr>
            <w:tcW w:w="1134" w:type="dxa"/>
            <w:tcBorders>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0.44-0.60</w:t>
            </w:r>
          </w:p>
        </w:tc>
      </w:tr>
      <w:tr w:rsidR="009641A1" w:rsidRPr="00DC134A" w:rsidTr="007E73E6">
        <w:trPr>
          <w:trHeight w:val="20"/>
        </w:trPr>
        <w:tc>
          <w:tcPr>
            <w:tcW w:w="2211"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C statistic</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0.821</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0.880</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0.823</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r w:rsidR="009641A1" w:rsidRPr="00DC134A" w:rsidTr="007E73E6">
        <w:trPr>
          <w:trHeight w:val="20"/>
        </w:trPr>
        <w:tc>
          <w:tcPr>
            <w:tcW w:w="2211"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rPr>
                <w:rFonts w:ascii="Arial" w:hAnsi="Arial" w:cs="Arial"/>
                <w:b/>
                <w:bCs/>
                <w:sz w:val="16"/>
                <w:szCs w:val="16"/>
              </w:rPr>
            </w:pPr>
            <w:r w:rsidRPr="00DC134A">
              <w:rPr>
                <w:rFonts w:ascii="Arial" w:hAnsi="Arial" w:cs="Arial"/>
                <w:b/>
                <w:bCs/>
                <w:sz w:val="16"/>
                <w:szCs w:val="16"/>
              </w:rPr>
              <w:t xml:space="preserve">p value of H-L test </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&lt; 0.001</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0.229</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r w:rsidRPr="00DC134A">
              <w:rPr>
                <w:rFonts w:ascii="Arial" w:hAnsi="Arial" w:cs="Arial"/>
                <w:sz w:val="16"/>
                <w:szCs w:val="16"/>
              </w:rPr>
              <w:t>&lt; 0.001</w:t>
            </w:r>
          </w:p>
        </w:tc>
        <w:tc>
          <w:tcPr>
            <w:tcW w:w="1134" w:type="dxa"/>
            <w:tcBorders>
              <w:top w:val="single" w:sz="4" w:space="0" w:color="auto"/>
              <w:bottom w:val="single" w:sz="4" w:space="0" w:color="auto"/>
            </w:tcBorders>
            <w:vAlign w:val="center"/>
          </w:tcPr>
          <w:p w:rsidR="009641A1" w:rsidRPr="00DC134A" w:rsidRDefault="009641A1" w:rsidP="007E73E6">
            <w:pPr>
              <w:widowControl/>
              <w:wordWrap/>
              <w:autoSpaceDE/>
              <w:autoSpaceDN/>
              <w:spacing w:after="0" w:line="200" w:lineRule="atLeast"/>
              <w:jc w:val="center"/>
              <w:rPr>
                <w:rFonts w:ascii="Arial" w:hAnsi="Arial" w:cs="Arial"/>
                <w:sz w:val="16"/>
                <w:szCs w:val="16"/>
              </w:rPr>
            </w:pPr>
          </w:p>
        </w:tc>
      </w:tr>
    </w:tbl>
    <w:p w:rsidR="009641A1" w:rsidRPr="00DC134A" w:rsidRDefault="009641A1" w:rsidP="006C60E5">
      <w:pPr>
        <w:wordWrap/>
        <w:spacing w:after="0" w:line="200" w:lineRule="atLeast"/>
        <w:ind w:firstLineChars="100" w:firstLine="160"/>
        <w:rPr>
          <w:rFonts w:ascii="Arial" w:hAnsi="Arial" w:cs="Arial"/>
          <w:sz w:val="16"/>
          <w:szCs w:val="16"/>
        </w:rPr>
      </w:pPr>
      <w:r w:rsidRPr="00DC134A">
        <w:rPr>
          <w:rFonts w:ascii="Arial" w:hAnsi="Arial" w:cs="Arial"/>
          <w:sz w:val="16"/>
          <w:szCs w:val="16"/>
        </w:rPr>
        <w:t>SGLT2i, sodium-glucose cotransporter 2 inhibitor</w:t>
      </w:r>
      <w:r>
        <w:rPr>
          <w:rFonts w:ascii="Arial" w:hAnsi="Arial" w:cs="Arial"/>
          <w:sz w:val="16"/>
          <w:szCs w:val="16"/>
        </w:rPr>
        <w:t>s</w:t>
      </w:r>
      <w:r w:rsidRPr="00DC134A">
        <w:rPr>
          <w:rFonts w:ascii="Arial" w:hAnsi="Arial" w:cs="Arial"/>
          <w:sz w:val="16"/>
          <w:szCs w:val="16"/>
        </w:rPr>
        <w:t xml:space="preserve">; GLP1RA: </w:t>
      </w:r>
      <w:r>
        <w:rPr>
          <w:rFonts w:ascii="Arial" w:hAnsi="Arial" w:cs="Arial"/>
          <w:sz w:val="16"/>
          <w:szCs w:val="16"/>
        </w:rPr>
        <w:t>g</w:t>
      </w:r>
      <w:r w:rsidRPr="00DC134A">
        <w:rPr>
          <w:rFonts w:ascii="Arial" w:hAnsi="Arial" w:cs="Arial"/>
          <w:sz w:val="16"/>
          <w:szCs w:val="16"/>
        </w:rPr>
        <w:t>lucagon</w:t>
      </w:r>
      <w:r>
        <w:rPr>
          <w:rFonts w:ascii="Arial" w:hAnsi="Arial" w:cs="Arial"/>
          <w:sz w:val="16"/>
          <w:szCs w:val="16"/>
        </w:rPr>
        <w:t xml:space="preserve">- like </w:t>
      </w:r>
      <w:r w:rsidRPr="00DC134A">
        <w:rPr>
          <w:rFonts w:ascii="Arial" w:hAnsi="Arial" w:cs="Arial"/>
          <w:sz w:val="16"/>
          <w:szCs w:val="16"/>
        </w:rPr>
        <w:t>peptide-1 receptor agonist</w:t>
      </w:r>
      <w:r>
        <w:rPr>
          <w:rFonts w:ascii="Arial" w:hAnsi="Arial" w:cs="Arial"/>
          <w:sz w:val="16"/>
          <w:szCs w:val="16"/>
        </w:rPr>
        <w:t>s</w:t>
      </w:r>
      <w:r w:rsidRPr="00DC134A">
        <w:rPr>
          <w:rFonts w:ascii="Arial" w:hAnsi="Arial" w:cs="Arial"/>
          <w:sz w:val="16"/>
          <w:szCs w:val="16"/>
        </w:rPr>
        <w:t xml:space="preserve">; NHI: National Health Insurance, MedAid: Medical Aid, PVI: Patriots and Veterans Insurance, CKD: </w:t>
      </w:r>
      <w:r>
        <w:rPr>
          <w:rFonts w:ascii="Arial" w:hAnsi="Arial" w:cs="Arial"/>
          <w:sz w:val="16"/>
          <w:szCs w:val="16"/>
        </w:rPr>
        <w:t>c</w:t>
      </w:r>
      <w:r w:rsidRPr="00DC134A">
        <w:rPr>
          <w:rFonts w:ascii="Arial" w:hAnsi="Arial" w:cs="Arial"/>
          <w:sz w:val="16"/>
          <w:szCs w:val="16"/>
        </w:rPr>
        <w:t>hronic kidney disease; ACEi/ARB, angiotensin-</w:t>
      </w:r>
      <w:r w:rsidRPr="00DC134A">
        <w:rPr>
          <w:rFonts w:ascii="Arial" w:hAnsi="Arial" w:cs="Arial"/>
          <w:sz w:val="16"/>
          <w:szCs w:val="16"/>
        </w:rPr>
        <w:lastRenderedPageBreak/>
        <w:t xml:space="preserve">converting enzyme inhibitors/angiotensin receptor antagonists; DPP4i: </w:t>
      </w:r>
      <w:r>
        <w:rPr>
          <w:rFonts w:ascii="Arial" w:hAnsi="Arial" w:cs="Arial"/>
          <w:sz w:val="16"/>
          <w:szCs w:val="16"/>
        </w:rPr>
        <w:t>d</w:t>
      </w:r>
      <w:r w:rsidRPr="00DC134A">
        <w:rPr>
          <w:rFonts w:ascii="Arial" w:hAnsi="Arial" w:cs="Arial"/>
          <w:sz w:val="16"/>
          <w:szCs w:val="16"/>
        </w:rPr>
        <w:t>ipeptidyl-peptidase 4 inhibitor</w:t>
      </w:r>
      <w:r>
        <w:rPr>
          <w:rFonts w:ascii="Arial" w:hAnsi="Arial" w:cs="Arial"/>
          <w:sz w:val="16"/>
          <w:szCs w:val="16"/>
        </w:rPr>
        <w:t>s</w:t>
      </w:r>
      <w:r w:rsidRPr="00DC134A">
        <w:rPr>
          <w:rFonts w:ascii="Arial" w:hAnsi="Arial" w:cs="Arial"/>
          <w:sz w:val="16"/>
          <w:szCs w:val="16"/>
        </w:rPr>
        <w:t xml:space="preserve">; SU: </w:t>
      </w:r>
      <w:r>
        <w:rPr>
          <w:rFonts w:ascii="Arial" w:hAnsi="Arial" w:cs="Arial"/>
          <w:sz w:val="16"/>
          <w:szCs w:val="16"/>
        </w:rPr>
        <w:t>s</w:t>
      </w:r>
      <w:r w:rsidRPr="00DC134A">
        <w:rPr>
          <w:rFonts w:ascii="Arial" w:hAnsi="Arial" w:cs="Arial"/>
          <w:sz w:val="16"/>
          <w:szCs w:val="16"/>
        </w:rPr>
        <w:t>ulfonylurea</w:t>
      </w:r>
      <w:r>
        <w:rPr>
          <w:rFonts w:ascii="Arial" w:hAnsi="Arial" w:cs="Arial"/>
          <w:sz w:val="16"/>
          <w:szCs w:val="16"/>
        </w:rPr>
        <w:t>s;</w:t>
      </w:r>
      <w:r w:rsidRPr="00DC134A">
        <w:rPr>
          <w:rFonts w:ascii="Arial" w:hAnsi="Arial" w:cs="Arial"/>
          <w:sz w:val="16"/>
          <w:szCs w:val="16"/>
        </w:rPr>
        <w:t xml:space="preserve"> H</w:t>
      </w:r>
      <w:r>
        <w:rPr>
          <w:rFonts w:ascii="Arial" w:hAnsi="Arial" w:cs="Arial"/>
          <w:sz w:val="16"/>
          <w:szCs w:val="16"/>
        </w:rPr>
        <w:t>–</w:t>
      </w:r>
      <w:r w:rsidRPr="00DC134A">
        <w:rPr>
          <w:rFonts w:ascii="Arial" w:hAnsi="Arial" w:cs="Arial"/>
          <w:sz w:val="16"/>
          <w:szCs w:val="16"/>
        </w:rPr>
        <w:t>L test</w:t>
      </w:r>
      <w:r>
        <w:rPr>
          <w:rFonts w:ascii="Arial" w:hAnsi="Arial" w:cs="Arial"/>
          <w:sz w:val="16"/>
          <w:szCs w:val="16"/>
        </w:rPr>
        <w:t>:</w:t>
      </w:r>
      <w:r w:rsidRPr="00DC134A">
        <w:rPr>
          <w:rFonts w:ascii="Arial" w:hAnsi="Arial" w:cs="Arial"/>
          <w:sz w:val="16"/>
          <w:szCs w:val="16"/>
        </w:rPr>
        <w:t xml:space="preserve"> Hosmer–Lemeshow test</w:t>
      </w:r>
      <w:r>
        <w:rPr>
          <w:rFonts w:ascii="Arial" w:hAnsi="Arial" w:cs="Arial"/>
          <w:sz w:val="16"/>
          <w:szCs w:val="16"/>
        </w:rPr>
        <w:t>.</w:t>
      </w:r>
      <w:r w:rsidRPr="00DC134A">
        <w:rPr>
          <w:rFonts w:ascii="Arial" w:hAnsi="Arial" w:cs="Arial"/>
          <w:sz w:val="16"/>
          <w:szCs w:val="16"/>
        </w:rPr>
        <w:t xml:space="preserve"> </w:t>
      </w:r>
    </w:p>
    <w:p w:rsidR="009641A1" w:rsidRDefault="009641A1" w:rsidP="00A50A86">
      <w:pPr>
        <w:wordWrap/>
        <w:spacing w:line="480" w:lineRule="auto"/>
        <w:rPr>
          <w:rFonts w:ascii="Times New Roman" w:hAnsi="Times New Roman"/>
        </w:rPr>
      </w:pPr>
    </w:p>
    <w:p w:rsidR="009641A1" w:rsidRDefault="009641A1">
      <w:pPr>
        <w:widowControl/>
        <w:wordWrap/>
        <w:autoSpaceDE/>
        <w:autoSpaceDN/>
        <w:spacing w:after="0" w:line="240" w:lineRule="auto"/>
        <w:jc w:val="left"/>
        <w:rPr>
          <w:rFonts w:ascii="Times New Roman" w:hAnsi="Times New Roman"/>
        </w:rPr>
        <w:sectPr w:rsidR="009641A1" w:rsidSect="006C60E5">
          <w:pgSz w:w="11906" w:h="16838"/>
          <w:pgMar w:top="1440" w:right="1440" w:bottom="1701" w:left="1440" w:header="851" w:footer="992" w:gutter="0"/>
          <w:cols w:space="425"/>
          <w:docGrid w:linePitch="360"/>
        </w:sectPr>
      </w:pPr>
      <w:r>
        <w:rPr>
          <w:rFonts w:ascii="Times New Roman" w:hAnsi="Times New Roman"/>
        </w:rPr>
        <w:br w:type="page"/>
      </w:r>
    </w:p>
    <w:p w:rsidR="009641A1" w:rsidRDefault="009641A1">
      <w:pPr>
        <w:widowControl/>
        <w:wordWrap/>
        <w:autoSpaceDE/>
        <w:autoSpaceDN/>
        <w:spacing w:after="0" w:line="240" w:lineRule="auto"/>
        <w:jc w:val="left"/>
        <w:rPr>
          <w:rFonts w:ascii="Times New Roman" w:hAnsi="Times New Roman"/>
        </w:rPr>
      </w:pPr>
      <w:r>
        <w:rPr>
          <w:rFonts w:ascii="Times New Roman" w:hAnsi="Times New Roman"/>
          <w:noProof/>
        </w:rPr>
        <w:lastRenderedPageBreak/>
        <w:drawing>
          <wp:inline distT="0" distB="0" distL="0" distR="0" wp14:anchorId="0C6DB27E" wp14:editId="6F9EC898">
            <wp:extent cx="8697595" cy="4744528"/>
            <wp:effectExtent l="0" t="0" r="8255"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추출도.png"/>
                    <pic:cNvPicPr/>
                  </pic:nvPicPr>
                  <pic:blipFill>
                    <a:blip r:embed="rId8"/>
                    <a:stretch>
                      <a:fillRect/>
                    </a:stretch>
                  </pic:blipFill>
                  <pic:spPr>
                    <a:xfrm>
                      <a:off x="0" y="0"/>
                      <a:ext cx="8702701" cy="4747313"/>
                    </a:xfrm>
                    <a:prstGeom prst="rect">
                      <a:avLst/>
                    </a:prstGeom>
                  </pic:spPr>
                </pic:pic>
              </a:graphicData>
            </a:graphic>
          </wp:inline>
        </w:drawing>
      </w:r>
    </w:p>
    <w:p w:rsidR="009641A1" w:rsidRPr="00DC134A" w:rsidRDefault="009641A1" w:rsidP="00AD1956">
      <w:pPr>
        <w:wordWrap/>
        <w:spacing w:after="0" w:line="480" w:lineRule="auto"/>
        <w:rPr>
          <w:rFonts w:ascii="Times New Roman" w:hAnsi="Times New Roman"/>
          <w:sz w:val="24"/>
          <w:szCs w:val="24"/>
        </w:rPr>
      </w:pPr>
      <w:r w:rsidRPr="00DC134A">
        <w:rPr>
          <w:rFonts w:ascii="Times New Roman" w:hAnsi="Times New Roman"/>
          <w:b/>
          <w:sz w:val="24"/>
          <w:szCs w:val="24"/>
        </w:rPr>
        <w:t>Figure 1.</w:t>
      </w:r>
      <w:r w:rsidRPr="00DC134A">
        <w:rPr>
          <w:rFonts w:ascii="Times New Roman" w:hAnsi="Times New Roman"/>
          <w:sz w:val="24"/>
          <w:szCs w:val="24"/>
        </w:rPr>
        <w:t xml:space="preserve"> Selection of </w:t>
      </w:r>
      <w:r>
        <w:rPr>
          <w:rFonts w:ascii="Times New Roman" w:hAnsi="Times New Roman"/>
          <w:sz w:val="24"/>
          <w:szCs w:val="24"/>
        </w:rPr>
        <w:t xml:space="preserve">the </w:t>
      </w:r>
      <w:r w:rsidRPr="00DC134A">
        <w:rPr>
          <w:rFonts w:ascii="Times New Roman" w:hAnsi="Times New Roman"/>
          <w:sz w:val="24"/>
          <w:szCs w:val="24"/>
        </w:rPr>
        <w:t xml:space="preserve">study population. </w:t>
      </w:r>
    </w:p>
    <w:p w:rsidR="009641A1" w:rsidRDefault="009641A1" w:rsidP="00A50A86">
      <w:pPr>
        <w:wordWrap/>
        <w:spacing w:line="480" w:lineRule="auto"/>
        <w:rPr>
          <w:rFonts w:ascii="Times New Roman" w:hAnsi="Times New Roman"/>
        </w:rPr>
        <w:sectPr w:rsidR="009641A1" w:rsidSect="00AD1956">
          <w:pgSz w:w="16838" w:h="11906" w:orient="landscape"/>
          <w:pgMar w:top="1440" w:right="1440" w:bottom="1440" w:left="1701" w:header="851" w:footer="992" w:gutter="0"/>
          <w:cols w:space="425"/>
          <w:docGrid w:linePitch="360"/>
        </w:sectPr>
      </w:pPr>
    </w:p>
    <w:p w:rsidR="009641A1" w:rsidRDefault="009641A1" w:rsidP="00A50A86">
      <w:pPr>
        <w:wordWrap/>
        <w:spacing w:line="480" w:lineRule="auto"/>
        <w:rPr>
          <w:rFonts w:ascii="Times New Roman" w:hAnsi="Times New Roman"/>
        </w:rPr>
      </w:pPr>
      <w:r>
        <w:rPr>
          <w:rFonts w:ascii="Times New Roman" w:hAnsi="Times New Roman"/>
          <w:noProof/>
        </w:rPr>
        <w:lastRenderedPageBreak/>
        <w:drawing>
          <wp:inline distT="0" distB="0" distL="0" distR="0" wp14:anchorId="6ACD156A" wp14:editId="5ACE9256">
            <wp:extent cx="5731510" cy="4458335"/>
            <wp:effectExtent l="0" t="0" r="254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GLT2iGLP1RA_use_2.jpg"/>
                    <pic:cNvPicPr/>
                  </pic:nvPicPr>
                  <pic:blipFill>
                    <a:blip r:embed="rId9"/>
                    <a:stretch>
                      <a:fillRect/>
                    </a:stretch>
                  </pic:blipFill>
                  <pic:spPr>
                    <a:xfrm>
                      <a:off x="0" y="0"/>
                      <a:ext cx="5731510" cy="4458335"/>
                    </a:xfrm>
                    <a:prstGeom prst="rect">
                      <a:avLst/>
                    </a:prstGeom>
                  </pic:spPr>
                </pic:pic>
              </a:graphicData>
            </a:graphic>
          </wp:inline>
        </w:drawing>
      </w:r>
    </w:p>
    <w:p w:rsidR="009641A1" w:rsidRDefault="009641A1" w:rsidP="00A50A86">
      <w:pPr>
        <w:wordWrap/>
        <w:spacing w:line="480" w:lineRule="auto"/>
        <w:rPr>
          <w:rFonts w:ascii="Times New Roman" w:hAnsi="Times New Roman"/>
          <w:sz w:val="24"/>
          <w:szCs w:val="24"/>
        </w:rPr>
      </w:pPr>
      <w:r w:rsidRPr="00DC134A">
        <w:rPr>
          <w:rFonts w:ascii="Times New Roman" w:hAnsi="Times New Roman"/>
          <w:b/>
          <w:sz w:val="24"/>
          <w:szCs w:val="24"/>
        </w:rPr>
        <w:t>Figure 2.</w:t>
      </w:r>
      <w:r w:rsidRPr="00DC134A">
        <w:rPr>
          <w:rFonts w:ascii="Times New Roman" w:hAnsi="Times New Roman"/>
          <w:sz w:val="24"/>
          <w:szCs w:val="24"/>
        </w:rPr>
        <w:t xml:space="preserve"> The utilization rate of SGLT2i and GLP1RA</w:t>
      </w:r>
      <w:r>
        <w:rPr>
          <w:rFonts w:ascii="Times New Roman" w:hAnsi="Times New Roman"/>
          <w:sz w:val="24"/>
          <w:szCs w:val="24"/>
        </w:rPr>
        <w:t xml:space="preserve"> between</w:t>
      </w:r>
      <w:r w:rsidRPr="00DC134A">
        <w:rPr>
          <w:rFonts w:ascii="Times New Roman" w:hAnsi="Times New Roman"/>
          <w:sz w:val="24"/>
          <w:szCs w:val="24"/>
        </w:rPr>
        <w:t xml:space="preserve"> 2015</w:t>
      </w:r>
      <w:r>
        <w:rPr>
          <w:rFonts w:ascii="Times New Roman" w:hAnsi="Times New Roman"/>
          <w:sz w:val="24"/>
          <w:szCs w:val="24"/>
        </w:rPr>
        <w:t xml:space="preserve"> and </w:t>
      </w:r>
      <w:r w:rsidRPr="00DC134A">
        <w:rPr>
          <w:rFonts w:ascii="Times New Roman" w:hAnsi="Times New Roman"/>
          <w:sz w:val="24"/>
          <w:szCs w:val="24"/>
        </w:rPr>
        <w:t xml:space="preserve">2020. </w:t>
      </w: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p>
    <w:p w:rsidR="009641A1" w:rsidRDefault="009641A1" w:rsidP="00A50A86">
      <w:pPr>
        <w:wordWrap/>
        <w:spacing w:line="480" w:lineRule="auto"/>
        <w:rPr>
          <w:rFonts w:ascii="Times New Roman" w:hAnsi="Times New Roman"/>
        </w:rPr>
      </w:pPr>
      <w:r>
        <w:rPr>
          <w:rFonts w:ascii="Times New Roman" w:hAnsi="Times New Roman"/>
          <w:noProof/>
        </w:rPr>
        <w:lastRenderedPageBreak/>
        <w:drawing>
          <wp:inline distT="0" distB="0" distL="0" distR="0" wp14:anchorId="35DBA7E4" wp14:editId="3D04BAA9">
            <wp:extent cx="5731510" cy="4458335"/>
            <wp:effectExtent l="0" t="0" r="254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GLT2i_2_0914.jpg"/>
                    <pic:cNvPicPr/>
                  </pic:nvPicPr>
                  <pic:blipFill>
                    <a:blip r:embed="rId10"/>
                    <a:stretch>
                      <a:fillRect/>
                    </a:stretch>
                  </pic:blipFill>
                  <pic:spPr>
                    <a:xfrm>
                      <a:off x="0" y="0"/>
                      <a:ext cx="5731510" cy="4458335"/>
                    </a:xfrm>
                    <a:prstGeom prst="rect">
                      <a:avLst/>
                    </a:prstGeom>
                  </pic:spPr>
                </pic:pic>
              </a:graphicData>
            </a:graphic>
          </wp:inline>
        </w:drawing>
      </w:r>
    </w:p>
    <w:p w:rsidR="009641A1" w:rsidRPr="00DC134A" w:rsidRDefault="009641A1" w:rsidP="00AD1956">
      <w:pPr>
        <w:wordWrap/>
        <w:spacing w:line="480" w:lineRule="auto"/>
        <w:ind w:firstLineChars="100" w:firstLine="240"/>
        <w:jc w:val="left"/>
        <w:rPr>
          <w:rFonts w:ascii="Times New Roman" w:hAnsi="Times New Roman"/>
          <w:sz w:val="24"/>
          <w:szCs w:val="24"/>
        </w:rPr>
      </w:pPr>
      <w:r w:rsidRPr="00DC134A">
        <w:rPr>
          <w:rFonts w:ascii="Times New Roman" w:hAnsi="Times New Roman"/>
          <w:b/>
          <w:sz w:val="24"/>
          <w:szCs w:val="24"/>
        </w:rPr>
        <w:t>Figure 3.</w:t>
      </w:r>
      <w:r w:rsidRPr="00DC134A">
        <w:rPr>
          <w:rFonts w:ascii="Times New Roman" w:hAnsi="Times New Roman"/>
          <w:sz w:val="24"/>
          <w:szCs w:val="24"/>
        </w:rPr>
        <w:t xml:space="preserve"> Trends in utilization of each SGLT2i </w:t>
      </w:r>
      <w:r>
        <w:rPr>
          <w:rFonts w:ascii="Times New Roman" w:hAnsi="Times New Roman"/>
          <w:sz w:val="24"/>
          <w:szCs w:val="24"/>
        </w:rPr>
        <w:t>agent between</w:t>
      </w:r>
      <w:r w:rsidRPr="00DC134A">
        <w:rPr>
          <w:rFonts w:ascii="Times New Roman" w:hAnsi="Times New Roman"/>
          <w:sz w:val="24"/>
          <w:szCs w:val="24"/>
        </w:rPr>
        <w:t xml:space="preserve"> 2015</w:t>
      </w:r>
      <w:r>
        <w:rPr>
          <w:rFonts w:ascii="Times New Roman" w:hAnsi="Times New Roman"/>
          <w:sz w:val="24"/>
          <w:szCs w:val="24"/>
        </w:rPr>
        <w:t xml:space="preserve"> and </w:t>
      </w:r>
      <w:r w:rsidRPr="00DC134A">
        <w:rPr>
          <w:rFonts w:ascii="Times New Roman" w:hAnsi="Times New Roman"/>
          <w:sz w:val="24"/>
          <w:szCs w:val="24"/>
        </w:rPr>
        <w:t>2020</w:t>
      </w:r>
    </w:p>
    <w:p w:rsidR="009641A1" w:rsidRPr="00DC134A" w:rsidRDefault="009641A1" w:rsidP="00A50A86">
      <w:pPr>
        <w:wordWrap/>
        <w:spacing w:line="480" w:lineRule="auto"/>
        <w:rPr>
          <w:rFonts w:ascii="Times New Roman" w:hAnsi="Times New Roman"/>
        </w:rPr>
      </w:pPr>
      <w:r w:rsidRPr="00DC134A">
        <w:rPr>
          <w:rFonts w:ascii="Times New Roman" w:hAnsi="Times New Roman"/>
        </w:rPr>
        <w:fldChar w:fldCharType="begin"/>
      </w:r>
      <w:r w:rsidRPr="00DC134A">
        <w:rPr>
          <w:rFonts w:ascii="Times New Roman" w:hAnsi="Times New Roman"/>
        </w:rPr>
        <w:instrText xml:space="preserve"> ADDIN </w:instrText>
      </w:r>
      <w:r w:rsidRPr="00DC134A">
        <w:rPr>
          <w:rFonts w:ascii="Times New Roman" w:hAnsi="Times New Roman"/>
        </w:rPr>
        <w:fldChar w:fldCharType="end"/>
      </w:r>
    </w:p>
    <w:p w:rsidR="00DB7C24" w:rsidRDefault="00DB7C24">
      <w:bookmarkStart w:id="8" w:name="_GoBack"/>
      <w:bookmarkEnd w:id="8"/>
    </w:p>
    <w:sectPr w:rsidR="00DB7C24" w:rsidSect="00AD1956">
      <w:pgSz w:w="11906" w:h="16838"/>
      <w:pgMar w:top="1440" w:right="1440" w:bottom="1701"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 ??">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Times New Roman Uni">
    <w:altName w:val="바탕"/>
    <w:panose1 w:val="00000000000000000000"/>
    <w:charset w:val="81"/>
    <w:family w:val="roman"/>
    <w:notTrueType/>
    <w:pitch w:val="variable"/>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412" w:rsidRDefault="009641A1">
    <w:pPr>
      <w:pStyle w:val="a4"/>
      <w:jc w:val="center"/>
    </w:pPr>
    <w:r>
      <w:fldChar w:fldCharType="begin"/>
    </w:r>
    <w:r>
      <w:instrText>PAGE   \* MERGEFORMAT</w:instrText>
    </w:r>
    <w:r>
      <w:fldChar w:fldCharType="separate"/>
    </w:r>
    <w:r w:rsidRPr="00953DBF">
      <w:rPr>
        <w:noProof/>
        <w:lang w:val="ko-KR"/>
      </w:rPr>
      <w:t>4</w:t>
    </w:r>
    <w:r>
      <w:rPr>
        <w:noProof/>
        <w:lang w:val="ko-KR"/>
      </w:rPr>
      <w:fldChar w:fldCharType="end"/>
    </w:r>
  </w:p>
  <w:p w:rsidR="00582412" w:rsidRDefault="009641A1">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770F9"/>
    <w:multiLevelType w:val="hybridMultilevel"/>
    <w:tmpl w:val="29261C04"/>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49686DFE"/>
    <w:multiLevelType w:val="hybridMultilevel"/>
    <w:tmpl w:val="E78A1F72"/>
    <w:lvl w:ilvl="0" w:tplc="40847C8A">
      <w:start w:val="1"/>
      <w:numFmt w:val="decimal"/>
      <w:lvlText w:val="%1."/>
      <w:lvlJc w:val="left"/>
      <w:pPr>
        <w:ind w:left="600" w:hanging="360"/>
      </w:pPr>
      <w:rPr>
        <w:rFonts w:cs="Times New Roman" w:hint="default"/>
      </w:rPr>
    </w:lvl>
    <w:lvl w:ilvl="1" w:tplc="38463A14" w:tentative="1">
      <w:start w:val="1"/>
      <w:numFmt w:val="upperLetter"/>
      <w:lvlText w:val="%2."/>
      <w:lvlJc w:val="left"/>
      <w:pPr>
        <w:ind w:left="1040" w:hanging="400"/>
      </w:pPr>
      <w:rPr>
        <w:rFonts w:cs="Times New Roman"/>
      </w:rPr>
    </w:lvl>
    <w:lvl w:ilvl="2" w:tplc="670A8418" w:tentative="1">
      <w:start w:val="1"/>
      <w:numFmt w:val="lowerRoman"/>
      <w:lvlText w:val="%3."/>
      <w:lvlJc w:val="right"/>
      <w:pPr>
        <w:ind w:left="1440" w:hanging="400"/>
      </w:pPr>
      <w:rPr>
        <w:rFonts w:cs="Times New Roman"/>
      </w:rPr>
    </w:lvl>
    <w:lvl w:ilvl="3" w:tplc="1E5063AC" w:tentative="1">
      <w:start w:val="1"/>
      <w:numFmt w:val="decimal"/>
      <w:lvlText w:val="%4."/>
      <w:lvlJc w:val="left"/>
      <w:pPr>
        <w:ind w:left="1840" w:hanging="400"/>
      </w:pPr>
      <w:rPr>
        <w:rFonts w:cs="Times New Roman"/>
      </w:rPr>
    </w:lvl>
    <w:lvl w:ilvl="4" w:tplc="1E3643F4" w:tentative="1">
      <w:start w:val="1"/>
      <w:numFmt w:val="upperLetter"/>
      <w:lvlText w:val="%5."/>
      <w:lvlJc w:val="left"/>
      <w:pPr>
        <w:ind w:left="2240" w:hanging="400"/>
      </w:pPr>
      <w:rPr>
        <w:rFonts w:cs="Times New Roman"/>
      </w:rPr>
    </w:lvl>
    <w:lvl w:ilvl="5" w:tplc="54C2103C" w:tentative="1">
      <w:start w:val="1"/>
      <w:numFmt w:val="lowerRoman"/>
      <w:lvlText w:val="%6."/>
      <w:lvlJc w:val="right"/>
      <w:pPr>
        <w:ind w:left="2640" w:hanging="400"/>
      </w:pPr>
      <w:rPr>
        <w:rFonts w:cs="Times New Roman"/>
      </w:rPr>
    </w:lvl>
    <w:lvl w:ilvl="6" w:tplc="478C3CE8" w:tentative="1">
      <w:start w:val="1"/>
      <w:numFmt w:val="decimal"/>
      <w:lvlText w:val="%7."/>
      <w:lvlJc w:val="left"/>
      <w:pPr>
        <w:ind w:left="3040" w:hanging="400"/>
      </w:pPr>
      <w:rPr>
        <w:rFonts w:cs="Times New Roman"/>
      </w:rPr>
    </w:lvl>
    <w:lvl w:ilvl="7" w:tplc="0090026A" w:tentative="1">
      <w:start w:val="1"/>
      <w:numFmt w:val="upperLetter"/>
      <w:lvlText w:val="%8."/>
      <w:lvlJc w:val="left"/>
      <w:pPr>
        <w:ind w:left="3440" w:hanging="400"/>
      </w:pPr>
      <w:rPr>
        <w:rFonts w:cs="Times New Roman"/>
      </w:rPr>
    </w:lvl>
    <w:lvl w:ilvl="8" w:tplc="01DCD700" w:tentative="1">
      <w:start w:val="1"/>
      <w:numFmt w:val="lowerRoman"/>
      <w:lvlText w:val="%9."/>
      <w:lvlJc w:val="right"/>
      <w:pPr>
        <w:ind w:left="3840" w:hanging="400"/>
      </w:pPr>
      <w:rPr>
        <w:rFonts w:cs="Times New Roman"/>
      </w:rPr>
    </w:lvl>
  </w:abstractNum>
  <w:abstractNum w:abstractNumId="2" w15:restartNumberingAfterBreak="0">
    <w:nsid w:val="4D2A12A4"/>
    <w:multiLevelType w:val="hybridMultilevel"/>
    <w:tmpl w:val="3714640E"/>
    <w:lvl w:ilvl="0" w:tplc="CEECBEE6">
      <w:start w:val="1"/>
      <w:numFmt w:val="bullet"/>
      <w:lvlText w:val=""/>
      <w:lvlJc w:val="left"/>
      <w:pPr>
        <w:ind w:left="460" w:hanging="360"/>
      </w:pPr>
      <w:rPr>
        <w:rFonts w:ascii="Wingdings" w:eastAsia="맑은 고딕" w:hAnsi="Wingdings" w:hint="default"/>
        <w:b/>
      </w:rPr>
    </w:lvl>
    <w:lvl w:ilvl="1" w:tplc="F78201E2" w:tentative="1">
      <w:start w:val="1"/>
      <w:numFmt w:val="bullet"/>
      <w:lvlText w:val=""/>
      <w:lvlJc w:val="left"/>
      <w:pPr>
        <w:ind w:left="900" w:hanging="400"/>
      </w:pPr>
      <w:rPr>
        <w:rFonts w:ascii="Wingdings" w:hAnsi="Wingdings" w:hint="default"/>
      </w:rPr>
    </w:lvl>
    <w:lvl w:ilvl="2" w:tplc="7932F286" w:tentative="1">
      <w:start w:val="1"/>
      <w:numFmt w:val="bullet"/>
      <w:lvlText w:val=""/>
      <w:lvlJc w:val="left"/>
      <w:pPr>
        <w:ind w:left="1300" w:hanging="400"/>
      </w:pPr>
      <w:rPr>
        <w:rFonts w:ascii="Wingdings" w:hAnsi="Wingdings" w:hint="default"/>
      </w:rPr>
    </w:lvl>
    <w:lvl w:ilvl="3" w:tplc="8328FA88" w:tentative="1">
      <w:start w:val="1"/>
      <w:numFmt w:val="bullet"/>
      <w:lvlText w:val=""/>
      <w:lvlJc w:val="left"/>
      <w:pPr>
        <w:ind w:left="1700" w:hanging="400"/>
      </w:pPr>
      <w:rPr>
        <w:rFonts w:ascii="Wingdings" w:hAnsi="Wingdings" w:hint="default"/>
      </w:rPr>
    </w:lvl>
    <w:lvl w:ilvl="4" w:tplc="EF96CC38" w:tentative="1">
      <w:start w:val="1"/>
      <w:numFmt w:val="bullet"/>
      <w:lvlText w:val=""/>
      <w:lvlJc w:val="left"/>
      <w:pPr>
        <w:ind w:left="2100" w:hanging="400"/>
      </w:pPr>
      <w:rPr>
        <w:rFonts w:ascii="Wingdings" w:hAnsi="Wingdings" w:hint="default"/>
      </w:rPr>
    </w:lvl>
    <w:lvl w:ilvl="5" w:tplc="2F1E1840" w:tentative="1">
      <w:start w:val="1"/>
      <w:numFmt w:val="bullet"/>
      <w:lvlText w:val=""/>
      <w:lvlJc w:val="left"/>
      <w:pPr>
        <w:ind w:left="2500" w:hanging="400"/>
      </w:pPr>
      <w:rPr>
        <w:rFonts w:ascii="Wingdings" w:hAnsi="Wingdings" w:hint="default"/>
      </w:rPr>
    </w:lvl>
    <w:lvl w:ilvl="6" w:tplc="B224A964" w:tentative="1">
      <w:start w:val="1"/>
      <w:numFmt w:val="bullet"/>
      <w:lvlText w:val=""/>
      <w:lvlJc w:val="left"/>
      <w:pPr>
        <w:ind w:left="2900" w:hanging="400"/>
      </w:pPr>
      <w:rPr>
        <w:rFonts w:ascii="Wingdings" w:hAnsi="Wingdings" w:hint="default"/>
      </w:rPr>
    </w:lvl>
    <w:lvl w:ilvl="7" w:tplc="08C4AB0C" w:tentative="1">
      <w:start w:val="1"/>
      <w:numFmt w:val="bullet"/>
      <w:lvlText w:val=""/>
      <w:lvlJc w:val="left"/>
      <w:pPr>
        <w:ind w:left="3300" w:hanging="400"/>
      </w:pPr>
      <w:rPr>
        <w:rFonts w:ascii="Wingdings" w:hAnsi="Wingdings" w:hint="default"/>
      </w:rPr>
    </w:lvl>
    <w:lvl w:ilvl="8" w:tplc="99E2E896" w:tentative="1">
      <w:start w:val="1"/>
      <w:numFmt w:val="bullet"/>
      <w:lvlText w:val=""/>
      <w:lvlJc w:val="left"/>
      <w:pPr>
        <w:ind w:left="3700" w:hanging="400"/>
      </w:pPr>
      <w:rPr>
        <w:rFonts w:ascii="Wingdings" w:hAnsi="Wingdings" w:hint="default"/>
      </w:rPr>
    </w:lvl>
  </w:abstractNum>
  <w:abstractNum w:abstractNumId="3" w15:restartNumberingAfterBreak="0">
    <w:nsid w:val="65D61D11"/>
    <w:multiLevelType w:val="hybridMultilevel"/>
    <w:tmpl w:val="7E7CE5A8"/>
    <w:lvl w:ilvl="0" w:tplc="677675DA">
      <w:start w:val="1"/>
      <w:numFmt w:val="decimal"/>
      <w:lvlText w:val="%1."/>
      <w:lvlJc w:val="left"/>
      <w:pPr>
        <w:ind w:left="600" w:hanging="360"/>
      </w:pPr>
      <w:rPr>
        <w:rFonts w:cs="Times New Roman" w:hint="default"/>
      </w:rPr>
    </w:lvl>
    <w:lvl w:ilvl="1" w:tplc="9508DFF0" w:tentative="1">
      <w:start w:val="1"/>
      <w:numFmt w:val="upperLetter"/>
      <w:lvlText w:val="%2."/>
      <w:lvlJc w:val="left"/>
      <w:pPr>
        <w:ind w:left="1040" w:hanging="400"/>
      </w:pPr>
      <w:rPr>
        <w:rFonts w:cs="Times New Roman"/>
      </w:rPr>
    </w:lvl>
    <w:lvl w:ilvl="2" w:tplc="B2062404" w:tentative="1">
      <w:start w:val="1"/>
      <w:numFmt w:val="lowerRoman"/>
      <w:lvlText w:val="%3."/>
      <w:lvlJc w:val="right"/>
      <w:pPr>
        <w:ind w:left="1440" w:hanging="400"/>
      </w:pPr>
      <w:rPr>
        <w:rFonts w:cs="Times New Roman"/>
      </w:rPr>
    </w:lvl>
    <w:lvl w:ilvl="3" w:tplc="30581AA0" w:tentative="1">
      <w:start w:val="1"/>
      <w:numFmt w:val="decimal"/>
      <w:lvlText w:val="%4."/>
      <w:lvlJc w:val="left"/>
      <w:pPr>
        <w:ind w:left="1840" w:hanging="400"/>
      </w:pPr>
      <w:rPr>
        <w:rFonts w:cs="Times New Roman"/>
      </w:rPr>
    </w:lvl>
    <w:lvl w:ilvl="4" w:tplc="BFF6F00E" w:tentative="1">
      <w:start w:val="1"/>
      <w:numFmt w:val="upperLetter"/>
      <w:lvlText w:val="%5."/>
      <w:lvlJc w:val="left"/>
      <w:pPr>
        <w:ind w:left="2240" w:hanging="400"/>
      </w:pPr>
      <w:rPr>
        <w:rFonts w:cs="Times New Roman"/>
      </w:rPr>
    </w:lvl>
    <w:lvl w:ilvl="5" w:tplc="FB0A3DD8" w:tentative="1">
      <w:start w:val="1"/>
      <w:numFmt w:val="lowerRoman"/>
      <w:lvlText w:val="%6."/>
      <w:lvlJc w:val="right"/>
      <w:pPr>
        <w:ind w:left="2640" w:hanging="400"/>
      </w:pPr>
      <w:rPr>
        <w:rFonts w:cs="Times New Roman"/>
      </w:rPr>
    </w:lvl>
    <w:lvl w:ilvl="6" w:tplc="0C9889DE" w:tentative="1">
      <w:start w:val="1"/>
      <w:numFmt w:val="decimal"/>
      <w:lvlText w:val="%7."/>
      <w:lvlJc w:val="left"/>
      <w:pPr>
        <w:ind w:left="3040" w:hanging="400"/>
      </w:pPr>
      <w:rPr>
        <w:rFonts w:cs="Times New Roman"/>
      </w:rPr>
    </w:lvl>
    <w:lvl w:ilvl="7" w:tplc="9274F236" w:tentative="1">
      <w:start w:val="1"/>
      <w:numFmt w:val="upperLetter"/>
      <w:lvlText w:val="%8."/>
      <w:lvlJc w:val="left"/>
      <w:pPr>
        <w:ind w:left="3440" w:hanging="400"/>
      </w:pPr>
      <w:rPr>
        <w:rFonts w:cs="Times New Roman"/>
      </w:rPr>
    </w:lvl>
    <w:lvl w:ilvl="8" w:tplc="920C3FB0" w:tentative="1">
      <w:start w:val="1"/>
      <w:numFmt w:val="lowerRoman"/>
      <w:lvlText w:val="%9."/>
      <w:lvlJc w:val="right"/>
      <w:pPr>
        <w:ind w:left="3840" w:hanging="400"/>
      </w:pPr>
      <w:rPr>
        <w:rFonts w:cs="Times New Roman"/>
      </w:rPr>
    </w:lvl>
  </w:abstractNum>
  <w:abstractNum w:abstractNumId="4" w15:restartNumberingAfterBreak="0">
    <w:nsid w:val="7CA21BE5"/>
    <w:multiLevelType w:val="hybridMultilevel"/>
    <w:tmpl w:val="68061DFE"/>
    <w:lvl w:ilvl="0" w:tplc="C5F866A4">
      <w:start w:val="1"/>
      <w:numFmt w:val="decimal"/>
      <w:lvlText w:val="%1."/>
      <w:lvlJc w:val="left"/>
      <w:pPr>
        <w:ind w:left="600" w:hanging="360"/>
      </w:pPr>
      <w:rPr>
        <w:rFonts w:cs="Times New Roman" w:hint="default"/>
      </w:rPr>
    </w:lvl>
    <w:lvl w:ilvl="1" w:tplc="0EEA6EF6" w:tentative="1">
      <w:start w:val="1"/>
      <w:numFmt w:val="upperLetter"/>
      <w:lvlText w:val="%2."/>
      <w:lvlJc w:val="left"/>
      <w:pPr>
        <w:ind w:left="1040" w:hanging="400"/>
      </w:pPr>
      <w:rPr>
        <w:rFonts w:cs="Times New Roman"/>
      </w:rPr>
    </w:lvl>
    <w:lvl w:ilvl="2" w:tplc="46CA2978" w:tentative="1">
      <w:start w:val="1"/>
      <w:numFmt w:val="lowerRoman"/>
      <w:lvlText w:val="%3."/>
      <w:lvlJc w:val="right"/>
      <w:pPr>
        <w:ind w:left="1440" w:hanging="400"/>
      </w:pPr>
      <w:rPr>
        <w:rFonts w:cs="Times New Roman"/>
      </w:rPr>
    </w:lvl>
    <w:lvl w:ilvl="3" w:tplc="606EF5FA" w:tentative="1">
      <w:start w:val="1"/>
      <w:numFmt w:val="decimal"/>
      <w:lvlText w:val="%4."/>
      <w:lvlJc w:val="left"/>
      <w:pPr>
        <w:ind w:left="1840" w:hanging="400"/>
      </w:pPr>
      <w:rPr>
        <w:rFonts w:cs="Times New Roman"/>
      </w:rPr>
    </w:lvl>
    <w:lvl w:ilvl="4" w:tplc="1160F5A6" w:tentative="1">
      <w:start w:val="1"/>
      <w:numFmt w:val="upperLetter"/>
      <w:lvlText w:val="%5."/>
      <w:lvlJc w:val="left"/>
      <w:pPr>
        <w:ind w:left="2240" w:hanging="400"/>
      </w:pPr>
      <w:rPr>
        <w:rFonts w:cs="Times New Roman"/>
      </w:rPr>
    </w:lvl>
    <w:lvl w:ilvl="5" w:tplc="76F63992" w:tentative="1">
      <w:start w:val="1"/>
      <w:numFmt w:val="lowerRoman"/>
      <w:lvlText w:val="%6."/>
      <w:lvlJc w:val="right"/>
      <w:pPr>
        <w:ind w:left="2640" w:hanging="400"/>
      </w:pPr>
      <w:rPr>
        <w:rFonts w:cs="Times New Roman"/>
      </w:rPr>
    </w:lvl>
    <w:lvl w:ilvl="6" w:tplc="F00479EA" w:tentative="1">
      <w:start w:val="1"/>
      <w:numFmt w:val="decimal"/>
      <w:lvlText w:val="%7."/>
      <w:lvlJc w:val="left"/>
      <w:pPr>
        <w:ind w:left="3040" w:hanging="400"/>
      </w:pPr>
      <w:rPr>
        <w:rFonts w:cs="Times New Roman"/>
      </w:rPr>
    </w:lvl>
    <w:lvl w:ilvl="7" w:tplc="72F2115A" w:tentative="1">
      <w:start w:val="1"/>
      <w:numFmt w:val="upperLetter"/>
      <w:lvlText w:val="%8."/>
      <w:lvlJc w:val="left"/>
      <w:pPr>
        <w:ind w:left="3440" w:hanging="400"/>
      </w:pPr>
      <w:rPr>
        <w:rFonts w:cs="Times New Roman"/>
      </w:rPr>
    </w:lvl>
    <w:lvl w:ilvl="8" w:tplc="E612E1B8" w:tentative="1">
      <w:start w:val="1"/>
      <w:numFmt w:val="lowerRoman"/>
      <w:lvlText w:val="%9."/>
      <w:lvlJc w:val="right"/>
      <w:pPr>
        <w:ind w:left="3840" w:hanging="40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9641A1"/>
    <w:rsid w:val="009641A1"/>
    <w:rsid w:val="00DB7C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6FF54-99CC-45F1-8DDB-E8751C4F7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41A1"/>
    <w:pPr>
      <w:widowControl w:val="0"/>
      <w:wordWrap w:val="0"/>
      <w:autoSpaceDE w:val="0"/>
      <w:autoSpaceDN w:val="0"/>
    </w:pPr>
    <w:rPr>
      <w:rFonts w:ascii="맑은 고딕" w:eastAsia="맑은 고딕" w:hAnsi="맑은 고딕" w:cs="Times New Roman"/>
      <w:szCs w:val="20"/>
    </w:rPr>
  </w:style>
  <w:style w:type="character" w:default="1" w:styleId="a0">
    <w:name w:val="Default Paragraph Font"/>
    <w:uiPriority w:val="1"/>
    <w:unhideWhenUsed/>
    <w:rsid w:val="009641A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9641A1"/>
  </w:style>
  <w:style w:type="character" w:customStyle="1" w:styleId="cf01">
    <w:name w:val="cf01"/>
    <w:basedOn w:val="a0"/>
    <w:uiPriority w:val="99"/>
    <w:rsid w:val="009641A1"/>
    <w:rPr>
      <w:rFonts w:ascii="맑은 고딕" w:eastAsia="맑은 고딕" w:hAnsi="맑은 고딕" w:cs="Times New Roman"/>
      <w:sz w:val="18"/>
      <w:szCs w:val="18"/>
    </w:rPr>
  </w:style>
  <w:style w:type="paragraph" w:customStyle="1" w:styleId="EndNoteBibliographyTitle">
    <w:name w:val="EndNote Bibliography Title"/>
    <w:basedOn w:val="a"/>
    <w:link w:val="EndNoteBibliographyTitleChar"/>
    <w:uiPriority w:val="99"/>
    <w:rsid w:val="009641A1"/>
    <w:pPr>
      <w:jc w:val="center"/>
    </w:pPr>
    <w:rPr>
      <w:rFonts w:ascii="?? ??" w:hAnsi="?? ??"/>
      <w:noProof/>
    </w:rPr>
  </w:style>
  <w:style w:type="character" w:customStyle="1" w:styleId="EndNoteBibliographyTitleChar">
    <w:name w:val="EndNote Bibliography Title Char"/>
    <w:basedOn w:val="a0"/>
    <w:link w:val="EndNoteBibliographyTitle"/>
    <w:uiPriority w:val="99"/>
    <w:locked/>
    <w:rsid w:val="009641A1"/>
    <w:rPr>
      <w:rFonts w:ascii="?? ??" w:eastAsia="맑은 고딕" w:hAnsi="?? ??" w:cs="Times New Roman"/>
      <w:noProof/>
      <w:szCs w:val="20"/>
    </w:rPr>
  </w:style>
  <w:style w:type="paragraph" w:customStyle="1" w:styleId="EndNoteBibliography">
    <w:name w:val="EndNote Bibliography"/>
    <w:basedOn w:val="a"/>
    <w:link w:val="EndNoteBibliographyChar"/>
    <w:uiPriority w:val="99"/>
    <w:rsid w:val="009641A1"/>
    <w:pPr>
      <w:spacing w:line="240" w:lineRule="auto"/>
    </w:pPr>
    <w:rPr>
      <w:rFonts w:ascii="?? ??" w:hAnsi="?? ??"/>
      <w:noProof/>
    </w:rPr>
  </w:style>
  <w:style w:type="character" w:customStyle="1" w:styleId="EndNoteBibliographyChar">
    <w:name w:val="EndNote Bibliography Char"/>
    <w:basedOn w:val="a0"/>
    <w:link w:val="EndNoteBibliography"/>
    <w:uiPriority w:val="99"/>
    <w:locked/>
    <w:rsid w:val="009641A1"/>
    <w:rPr>
      <w:rFonts w:ascii="?? ??" w:eastAsia="맑은 고딕" w:hAnsi="?? ??" w:cs="Times New Roman"/>
      <w:noProof/>
      <w:szCs w:val="20"/>
    </w:rPr>
  </w:style>
  <w:style w:type="paragraph" w:styleId="a3">
    <w:name w:val="header"/>
    <w:basedOn w:val="a"/>
    <w:link w:val="Char"/>
    <w:uiPriority w:val="99"/>
    <w:rsid w:val="009641A1"/>
    <w:pPr>
      <w:tabs>
        <w:tab w:val="center" w:pos="4513"/>
        <w:tab w:val="right" w:pos="9026"/>
      </w:tabs>
      <w:snapToGrid w:val="0"/>
    </w:pPr>
  </w:style>
  <w:style w:type="character" w:customStyle="1" w:styleId="Char">
    <w:name w:val="머리글 Char"/>
    <w:basedOn w:val="a0"/>
    <w:link w:val="a3"/>
    <w:uiPriority w:val="99"/>
    <w:rsid w:val="009641A1"/>
    <w:rPr>
      <w:rFonts w:ascii="맑은 고딕" w:eastAsia="맑은 고딕" w:hAnsi="맑은 고딕" w:cs="Times New Roman"/>
      <w:szCs w:val="20"/>
    </w:rPr>
  </w:style>
  <w:style w:type="paragraph" w:styleId="a4">
    <w:name w:val="footer"/>
    <w:basedOn w:val="a"/>
    <w:link w:val="Char0"/>
    <w:uiPriority w:val="99"/>
    <w:rsid w:val="009641A1"/>
    <w:pPr>
      <w:tabs>
        <w:tab w:val="center" w:pos="4513"/>
        <w:tab w:val="right" w:pos="9026"/>
      </w:tabs>
      <w:snapToGrid w:val="0"/>
    </w:pPr>
  </w:style>
  <w:style w:type="character" w:customStyle="1" w:styleId="Char0">
    <w:name w:val="바닥글 Char"/>
    <w:basedOn w:val="a0"/>
    <w:link w:val="a4"/>
    <w:uiPriority w:val="99"/>
    <w:rsid w:val="009641A1"/>
    <w:rPr>
      <w:rFonts w:ascii="맑은 고딕" w:eastAsia="맑은 고딕" w:hAnsi="맑은 고딕" w:cs="Times New Roman"/>
      <w:szCs w:val="20"/>
    </w:rPr>
  </w:style>
  <w:style w:type="character" w:styleId="a5">
    <w:name w:val="annotation reference"/>
    <w:basedOn w:val="a0"/>
    <w:uiPriority w:val="99"/>
    <w:semiHidden/>
    <w:rsid w:val="009641A1"/>
    <w:rPr>
      <w:rFonts w:cs="Times New Roman"/>
      <w:sz w:val="18"/>
      <w:szCs w:val="18"/>
    </w:rPr>
  </w:style>
  <w:style w:type="paragraph" w:styleId="a6">
    <w:name w:val="annotation text"/>
    <w:basedOn w:val="a"/>
    <w:link w:val="Char1"/>
    <w:uiPriority w:val="99"/>
    <w:semiHidden/>
    <w:rsid w:val="009641A1"/>
    <w:pPr>
      <w:jc w:val="left"/>
    </w:pPr>
  </w:style>
  <w:style w:type="character" w:customStyle="1" w:styleId="Char1">
    <w:name w:val="메모 텍스트 Char"/>
    <w:basedOn w:val="a0"/>
    <w:link w:val="a6"/>
    <w:uiPriority w:val="99"/>
    <w:semiHidden/>
    <w:rsid w:val="009641A1"/>
    <w:rPr>
      <w:rFonts w:ascii="맑은 고딕" w:eastAsia="맑은 고딕" w:hAnsi="맑은 고딕" w:cs="Times New Roman"/>
      <w:szCs w:val="20"/>
    </w:rPr>
  </w:style>
  <w:style w:type="paragraph" w:styleId="a7">
    <w:name w:val="annotation subject"/>
    <w:basedOn w:val="a6"/>
    <w:next w:val="a6"/>
    <w:link w:val="Char2"/>
    <w:uiPriority w:val="99"/>
    <w:semiHidden/>
    <w:rsid w:val="009641A1"/>
    <w:rPr>
      <w:b/>
      <w:bCs/>
    </w:rPr>
  </w:style>
  <w:style w:type="character" w:customStyle="1" w:styleId="Char2">
    <w:name w:val="메모 주제 Char"/>
    <w:basedOn w:val="Char1"/>
    <w:link w:val="a7"/>
    <w:uiPriority w:val="99"/>
    <w:semiHidden/>
    <w:rsid w:val="009641A1"/>
    <w:rPr>
      <w:rFonts w:ascii="맑은 고딕" w:eastAsia="맑은 고딕" w:hAnsi="맑은 고딕" w:cs="Times New Roman"/>
      <w:b/>
      <w:bCs/>
      <w:szCs w:val="20"/>
    </w:rPr>
  </w:style>
  <w:style w:type="paragraph" w:styleId="a8">
    <w:name w:val="Balloon Text"/>
    <w:basedOn w:val="a"/>
    <w:link w:val="Char3"/>
    <w:uiPriority w:val="99"/>
    <w:semiHidden/>
    <w:rsid w:val="009641A1"/>
    <w:rPr>
      <w:sz w:val="18"/>
      <w:szCs w:val="18"/>
    </w:rPr>
  </w:style>
  <w:style w:type="character" w:customStyle="1" w:styleId="Char3">
    <w:name w:val="풍선 도움말 텍스트 Char"/>
    <w:basedOn w:val="a0"/>
    <w:link w:val="a8"/>
    <w:uiPriority w:val="99"/>
    <w:semiHidden/>
    <w:rsid w:val="009641A1"/>
    <w:rPr>
      <w:rFonts w:ascii="맑은 고딕" w:eastAsia="맑은 고딕" w:hAnsi="맑은 고딕" w:cs="Times New Roman"/>
      <w:sz w:val="18"/>
      <w:szCs w:val="18"/>
    </w:rPr>
  </w:style>
  <w:style w:type="paragraph" w:styleId="a9">
    <w:name w:val="List Paragraph"/>
    <w:basedOn w:val="a"/>
    <w:uiPriority w:val="34"/>
    <w:qFormat/>
    <w:rsid w:val="009641A1"/>
    <w:pPr>
      <w:ind w:leftChars="400" w:left="800"/>
    </w:pPr>
  </w:style>
  <w:style w:type="table" w:customStyle="1" w:styleId="PlainTable21">
    <w:name w:val="Plain Table 21"/>
    <w:uiPriority w:val="99"/>
    <w:rsid w:val="009641A1"/>
    <w:pPr>
      <w:spacing w:after="0" w:line="240" w:lineRule="auto"/>
      <w:jc w:val="left"/>
    </w:pPr>
    <w:rPr>
      <w:rFonts w:ascii="맑은 고딕" w:eastAsia="맑은 고딕" w:hAnsi="맑은 고딕" w:cs="Times New Roman"/>
      <w:kern w:val="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styleId="aa">
    <w:name w:val="Table Grid"/>
    <w:basedOn w:val="a1"/>
    <w:uiPriority w:val="99"/>
    <w:rsid w:val="009641A1"/>
    <w:pPr>
      <w:spacing w:after="0" w:line="240" w:lineRule="auto"/>
      <w:jc w:val="left"/>
    </w:pPr>
    <w:rPr>
      <w:rFonts w:ascii="맑은 고딕" w:eastAsia="맑은 고딕" w:hAnsi="맑은 고딕" w:cs="Times New Roman"/>
      <w:kern w:val="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rsid w:val="009641A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c">
    <w:name w:val="Hyperlink"/>
    <w:basedOn w:val="a0"/>
    <w:uiPriority w:val="99"/>
    <w:rsid w:val="009641A1"/>
    <w:rPr>
      <w:rFonts w:cs="Times New Roman"/>
      <w:color w:val="0563C1"/>
      <w:u w:val="single"/>
    </w:rPr>
  </w:style>
  <w:style w:type="character" w:customStyle="1" w:styleId="UnresolvedMention1">
    <w:name w:val="Unresolved Mention1"/>
    <w:basedOn w:val="a0"/>
    <w:uiPriority w:val="99"/>
    <w:semiHidden/>
    <w:rsid w:val="009641A1"/>
    <w:rPr>
      <w:rFonts w:cs="Times New Roman"/>
      <w:color w:val="605E5C"/>
      <w:shd w:val="clear" w:color="auto" w:fill="E1DFDD"/>
    </w:rPr>
  </w:style>
  <w:style w:type="paragraph" w:customStyle="1" w:styleId="ad">
    <w:name w:val="바탕글"/>
    <w:basedOn w:val="a"/>
    <w:uiPriority w:val="99"/>
    <w:rsid w:val="009641A1"/>
    <w:pPr>
      <w:shd w:val="clear" w:color="auto" w:fill="FFFFFF"/>
      <w:spacing w:after="0" w:line="384" w:lineRule="auto"/>
      <w:textAlignment w:val="baseline"/>
    </w:pPr>
    <w:rPr>
      <w:rFonts w:ascii="굴림" w:eastAsia="굴림" w:hAnsi="굴림" w:cs="굴림"/>
      <w:color w:val="000000"/>
      <w:kern w:val="0"/>
    </w:rPr>
  </w:style>
  <w:style w:type="character" w:styleId="ae">
    <w:name w:val="Unresolved Mention"/>
    <w:basedOn w:val="a0"/>
    <w:uiPriority w:val="99"/>
    <w:semiHidden/>
    <w:unhideWhenUsed/>
    <w:rsid w:val="00964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ata.hira.or.kr" TargetMode="External"/><Relationship Id="rId11" Type="http://schemas.openxmlformats.org/officeDocument/2006/relationships/fontTable" Target="fontTable.xml"/><Relationship Id="rId5" Type="http://schemas.openxmlformats.org/officeDocument/2006/relationships/hyperlink" Target="mailto:jenk@pusan.ac.kr" TargetMode="Externa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7097</Words>
  <Characters>40456</Characters>
  <Application>Microsoft Office Word</Application>
  <DocSecurity>0</DocSecurity>
  <Lines>337</Lines>
  <Paragraphs>94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Kyung Je</dc:creator>
  <cp:keywords/>
  <dc:description/>
  <cp:lastModifiedBy>Nam Kyung Je</cp:lastModifiedBy>
  <cp:revision>1</cp:revision>
  <dcterms:created xsi:type="dcterms:W3CDTF">2024-02-04T10:35:00Z</dcterms:created>
  <dcterms:modified xsi:type="dcterms:W3CDTF">2024-02-04T10:35:00Z</dcterms:modified>
</cp:coreProperties>
</file>