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Forecasting</w:t>
      </w:r>
      <w:r>
        <w:t xml:space="preserve"> </w:t>
      </w:r>
      <w:r>
        <w:t xml:space="preserve">Financial</w:t>
      </w:r>
      <w:r>
        <w:t xml:space="preserve"> </w:t>
      </w:r>
      <w:r>
        <w:t xml:space="preserve">Cycles:</w:t>
      </w:r>
      <w:r>
        <w:t xml:space="preserve"> </w:t>
      </w:r>
      <w:r>
        <w:t xml:space="preserve">Can</w:t>
      </w:r>
      <w:r>
        <w:t xml:space="preserve"> </w:t>
      </w:r>
      <w:r>
        <w:t xml:space="preserve">Big</w:t>
      </w:r>
      <w:r>
        <w:t xml:space="preserve"> </w:t>
      </w:r>
      <w:r>
        <w:t xml:space="preserve">Data</w:t>
      </w:r>
      <w:r>
        <w:t xml:space="preserve"> </w:t>
      </w:r>
      <w:r>
        <w:t xml:space="preserve">Help?</w:t>
      </w:r>
    </w:p>
    <w:p>
      <w:pPr>
        <w:pStyle w:val="Author"/>
      </w:pPr>
      <w:r>
        <w:t xml:space="preserve">Marinko</w:t>
      </w:r>
      <w:r>
        <w:t xml:space="preserve"> </w:t>
      </w:r>
      <w:r>
        <w:t xml:space="preserve">Skare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global financial crisis of 2008 after decades of the great</w:t>
      </w:r>
      <w:r>
        <w:t xml:space="preserve"> </w:t>
      </w:r>
      <w:r>
        <w:t xml:space="preserve">moderation policy governance opened the discussion of the financial</w:t>
      </w:r>
      <w:r>
        <w:t xml:space="preserve"> </w:t>
      </w:r>
      <w:r>
        <w:t xml:space="preserve">stability importance for economic activity. Identification of the</w:t>
      </w:r>
      <w:r>
        <w:t xml:space="preserve"> </w:t>
      </w:r>
      <w:r>
        <w:t xml:space="preserve">earning warning signals to predict business cycles and avoid instability</w:t>
      </w:r>
      <w:r>
        <w:t xml:space="preserve"> </w:t>
      </w:r>
      <w:r>
        <w:t xml:space="preserve">in the economy was always the primary goal of the policymakers. Our</w:t>
      </w:r>
      <w:r>
        <w:t xml:space="preserve"> </w:t>
      </w:r>
      <w:r>
        <w:t xml:space="preserve">paper is the first to combine financial big data to forecast financial</w:t>
      </w:r>
      <w:r>
        <w:t xml:space="preserve"> </w:t>
      </w:r>
      <w:r>
        <w:t xml:space="preserve">cycles.</w:t>
      </w:r>
    </w:p>
    <w:p>
      <w:pPr>
        <w:pStyle w:val="BodyText"/>
      </w:pPr>
      <w:r>
        <w:t xml:space="preserve">First to mention the importance of the big data for macroeconomic</w:t>
      </w:r>
      <w:r>
        <w:t xml:space="preserve"> </w:t>
      </w:r>
      <w:r>
        <w:t xml:space="preserve">management was (Phillips 1962). Phillips (1962) put forward the</w:t>
      </w:r>
      <w:r>
        <w:t xml:space="preserve"> </w:t>
      </w:r>
      <w:r>
        <w:t xml:space="preserve">assumption that policymakers can not design effective economic policy</w:t>
      </w:r>
      <w:r>
        <w:t xml:space="preserve"> </w:t>
      </w:r>
      <w:r>
        <w:t xml:space="preserve">without quantitative knowledge behind the main economic forces governing</w:t>
      </w:r>
      <w:r>
        <w:t xml:space="preserve"> </w:t>
      </w:r>
      <w:r>
        <w:t xml:space="preserve">the economic system.  Main economic forces consist of employment,</w:t>
      </w:r>
      <w:r>
        <w:t xml:space="preserve"> </w:t>
      </w:r>
      <w:r>
        <w:t xml:space="preserve">inflation and growth as instruments and policy goals at the same time.</w:t>
      </w:r>
      <w:r>
        <w:t xml:space="preserve"> </w:t>
      </w:r>
      <w:r>
        <w:t xml:space="preserve">Therefore, it is not possible to design an optimal economic policy</w:t>
      </w:r>
      <w:r>
        <w:t xml:space="preserve"> </w:t>
      </w:r>
      <w:r>
        <w:t xml:space="preserve">without knowing the quantitative relations that hold between these</w:t>
      </w:r>
      <w:r>
        <w:t xml:space="preserve"> </w:t>
      </w:r>
      <w:r>
        <w:t xml:space="preserve">economic forces. To be able to measure and identify the correct</w:t>
      </w:r>
      <w:r>
        <w:t xml:space="preserve"> </w:t>
      </w:r>
      <w:r>
        <w:t xml:space="preserve">quantitive relationship among employment, inflation and growth, a big</w:t>
      </w:r>
      <w:r>
        <w:t xml:space="preserve"> </w:t>
      </w:r>
      <w:r>
        <w:t xml:space="preserve">data approach is essential. </w:t>
      </w:r>
    </w:p>
    <w:p>
      <w:pPr>
        <w:pStyle w:val="BodyText"/>
      </w:pPr>
      <w:r>
        <w:t xml:space="preserve">Fluctuations in financial variables always had a significant impact on</w:t>
      </w:r>
      <w:r>
        <w:t xml:space="preserve"> </w:t>
      </w:r>
      <w:r>
        <w:t xml:space="preserve">real economic activities. That is the case today but was all the same</w:t>
      </w:r>
      <w:r>
        <w:t xml:space="preserve"> </w:t>
      </w:r>
      <w:r>
        <w:t xml:space="preserve">3000 years ago. Oscillatory behaviour in savings and investments</w:t>
      </w:r>
      <w:r>
        <w:t xml:space="preserve"> </w:t>
      </w:r>
      <w:r>
        <w:t xml:space="preserve">dynamics and price targeting articulate economic cycle, see Ji</w:t>
      </w:r>
      <w:r>
        <w:t xml:space="preserve"> </w:t>
      </w:r>
      <w:r>
        <w:t xml:space="preserve">Ran (Milburn 2007). Consequently, policymakers must always monitor</w:t>
      </w:r>
      <w:r>
        <w:t xml:space="preserve"> </w:t>
      </w:r>
      <w:r>
        <w:t xml:space="preserve">the saving-investments cycle keeping prices under control to ensure the</w:t>
      </w:r>
      <w:r>
        <w:t xml:space="preserve"> </w:t>
      </w:r>
      <w:r>
        <w:t xml:space="preserve">smooth running of the economy.  The same concept highlighting the</w:t>
      </w:r>
      <w:r>
        <w:t xml:space="preserve"> </w:t>
      </w:r>
      <w:r>
        <w:t xml:space="preserve">importance of financial conditions for business cycles is extended</w:t>
      </w:r>
      <w:r>
        <w:t xml:space="preserve"> </w:t>
      </w:r>
      <w:r>
        <w:t xml:space="preserve">in (Keynes 1936), (Schumpeter 1939), (Minsky 1963: 101–111; Minsky 1975).</w:t>
      </w:r>
    </w:p>
    <w:p>
      <w:pPr>
        <w:pStyle w:val="BodyText"/>
      </w:pPr>
      <w:r>
        <w:t xml:space="preserve">Inherent dynamics in financial conditions articulate the dynamics of the</w:t>
      </w:r>
      <w:r>
        <w:t xml:space="preserve"> </w:t>
      </w:r>
      <w:r>
        <w:t xml:space="preserve">business cycles driving economic booms and downturns. Financial markets</w:t>
      </w:r>
      <w:r>
        <w:t xml:space="preserve"> </w:t>
      </w:r>
      <w:r>
        <w:t xml:space="preserve">offer a large number of financial data reflecting financial conditions</w:t>
      </w:r>
      <w:r>
        <w:t xml:space="preserve"> </w:t>
      </w:r>
      <w:r>
        <w:t xml:space="preserve">still the issue of financial cycles definition, measurement and</w:t>
      </w:r>
      <w:r>
        <w:t xml:space="preserve"> </w:t>
      </w:r>
      <w:r>
        <w:t xml:space="preserve">forecasting remain undisclosed. We can understand the complexity of the</w:t>
      </w:r>
      <w:r>
        <w:t xml:space="preserve"> </w:t>
      </w:r>
      <w:r>
        <w:t xml:space="preserve">problem from the fact that today we still miss a generalised definition</w:t>
      </w:r>
      <w:r>
        <w:t xml:space="preserve"> </w:t>
      </w:r>
      <w:r>
        <w:t xml:space="preserve">of financial cycles. General literature uses Minsky’s financial</w:t>
      </w:r>
      <w:r>
        <w:t xml:space="preserve"> </w:t>
      </w:r>
      <w:r>
        <w:t xml:space="preserve">instability hypothesis to define financial cycles in the form of the</w:t>
      </w:r>
      <w:r>
        <w:t xml:space="preserve"> </w:t>
      </w:r>
      <w:r>
        <w:t xml:space="preserve">Minsky’s cycle. Pioneering works of (Borio et al. 2011: 237–268; Drehmann et al. 2012: 1–38; Drehmann et al. 2013: 131–156) define financial</w:t>
      </w:r>
      <w:r>
        <w:t xml:space="preserve"> </w:t>
      </w:r>
      <w:r>
        <w:t xml:space="preserve">cycles as long swings in financial conditions (credit and assets price).</w:t>
      </w:r>
      <w:r>
        <w:t xml:space="preserve"> </w:t>
      </w:r>
      <w:r>
        <w:t xml:space="preserve">A large body of research focuses on the issue of finding an optimal</w:t>
      </w:r>
      <w:r>
        <w:t xml:space="preserve"> </w:t>
      </w:r>
      <w:r>
        <w:t xml:space="preserve">method for measuring financial</w:t>
      </w:r>
      <w:r>
        <w:t xml:space="preserve"> </w:t>
      </w:r>
      <w:r>
        <w:t xml:space="preserve">cycles  (Sch</w:t>
      </w:r>
      <w:r>
        <w:t xml:space="preserve">ü</w:t>
      </w:r>
      <w:r>
        <w:t xml:space="preserve">ler et al. 2015), (Strohsal et al. 2019), (Hiebert et al. 2014: 109–117), (R</w:t>
      </w:r>
      <w:r>
        <w:t xml:space="preserve">ü</w:t>
      </w:r>
      <w:r>
        <w:t xml:space="preserve">nstler et al. 2018: 212–226), (Strohsal et al. 2019), (Skare et al. 2019).  </w:t>
      </w:r>
    </w:p>
    <w:p>
      <w:pPr>
        <w:pStyle w:val="BodyText"/>
      </w:pPr>
      <w:r>
        <w:t xml:space="preserve">In this paper, we use quarterly big data for the United Kingdom, the</w:t>
      </w:r>
      <w:r>
        <w:t xml:space="preserve"> </w:t>
      </w:r>
      <w:r>
        <w:t xml:space="preserve">United States, Japan and China from Q1 2004 Q1 2019. We use web-based</w:t>
      </w:r>
      <w:r>
        <w:t xml:space="preserve"> </w:t>
      </w:r>
      <w:r>
        <w:t xml:space="preserve">indicators from the Google trends, financial market data (house price</w:t>
      </w:r>
      <w:r>
        <w:t xml:space="preserve"> </w:t>
      </w:r>
      <w:r>
        <w:t xml:space="preserve">index and credit volume, share in the GDP), long- interest rates on</w:t>
      </w:r>
      <w:r>
        <w:t xml:space="preserve"> </w:t>
      </w:r>
      <w:r>
        <w:t xml:space="preserve">10-year government treasury bond, consumer and business confidence index</w:t>
      </w:r>
      <w:r>
        <w:t xml:space="preserve"> </w:t>
      </w:r>
      <w:r>
        <w:t xml:space="preserve">and share price index. Using frequency domain time-series methods</w:t>
      </w:r>
      <w:r>
        <w:t xml:space="preserve"> </w:t>
      </w:r>
      <w:r>
        <w:t xml:space="preserve">singular  (SSA) and multichannel singular spectrum analysis (MSSA), we</w:t>
      </w:r>
      <w:r>
        <w:t xml:space="preserve"> </w:t>
      </w:r>
      <w:r>
        <w:t xml:space="preserve">test the impact of big data statistics on financial cycles forecasting.</w:t>
      </w:r>
      <w:r>
        <w:t xml:space="preserve"> </w:t>
      </w:r>
      <w:r>
        <w:t xml:space="preserve">Our results show that policymakers can obtain better macro-aggregates to</w:t>
      </w:r>
      <w:r>
        <w:t xml:space="preserve"> </w:t>
      </w:r>
      <w:r>
        <w:t xml:space="preserve">use in financial cycles forecasting and thus better forecasting accuracy</w:t>
      </w:r>
      <w:r>
        <w:t xml:space="preserve"> </w:t>
      </w:r>
      <w:r>
        <w:t xml:space="preserve">and validity. Assuring better information support and prognosis on</w:t>
      </w:r>
      <w:r>
        <w:t xml:space="preserve"> </w:t>
      </w:r>
      <w:r>
        <w:t xml:space="preserve">financial cycles can help economic agents in the decision-making process</w:t>
      </w:r>
      <w:r>
        <w:t xml:space="preserve"> </w:t>
      </w:r>
      <w:r>
        <w:t xml:space="preserve">on financial markets. In the same time, using relevant micro-financial</w:t>
      </w:r>
      <w:r>
        <w:t xml:space="preserve"> </w:t>
      </w:r>
      <w:r>
        <w:t xml:space="preserve">data improve the relevance of macro-financial aggregates. Financial</w:t>
      </w:r>
      <w:r>
        <w:t xml:space="preserve"> </w:t>
      </w:r>
      <w:r>
        <w:t xml:space="preserve">cycles reflect fluctuations in macro-financial aggregates. Thus, more</w:t>
      </w:r>
      <w:r>
        <w:t xml:space="preserve"> </w:t>
      </w:r>
      <w:r>
        <w:t xml:space="preserve">precise measurement and identification of financial cycles support</w:t>
      </w:r>
      <w:r>
        <w:t xml:space="preserve"> </w:t>
      </w:r>
      <w:r>
        <w:t xml:space="preserve">central bank policies meeting information needs for price and</w:t>
      </w:r>
      <w:r>
        <w:t xml:space="preserve"> </w:t>
      </w:r>
      <w:r>
        <w:t xml:space="preserve">macro-financial stability. Comparing the forecasting results in this</w:t>
      </w:r>
      <w:r>
        <w:t xml:space="preserve"> </w:t>
      </w:r>
      <w:r>
        <w:t xml:space="preserve">study, we can see that the results of the (Diebold et al. 1995) test</w:t>
      </w:r>
      <w:r>
        <w:t xml:space="preserve"> </w:t>
      </w:r>
      <w:r>
        <w:t xml:space="preserve">support the hypothesis that more accurate forecasting of the financial</w:t>
      </w:r>
      <w:r>
        <w:t xml:space="preserve"> </w:t>
      </w:r>
      <w:r>
        <w:t xml:space="preserve">cycles can be obtained using financial big data. Big data financial</w:t>
      </w:r>
      <w:r>
        <w:t xml:space="preserve"> </w:t>
      </w:r>
      <w:r>
        <w:t xml:space="preserve">cycles can serve the purpose of developing early warning signals of</w:t>
      </w:r>
      <w:r>
        <w:t xml:space="preserve"> </w:t>
      </w:r>
      <w:r>
        <w:t xml:space="preserve">financial distress as financial crisis predictor. Since more</w:t>
      </w:r>
      <w:r>
        <w:t xml:space="preserve"> </w:t>
      </w:r>
      <w:r>
        <w:t xml:space="preserve">contemporary studies show financial conditions articulate real economic</w:t>
      </w:r>
      <w:r>
        <w:t xml:space="preserve"> </w:t>
      </w:r>
      <w:r>
        <w:t xml:space="preserve">activity dynamics and thus business cycles, understanding the true</w:t>
      </w:r>
      <w:r>
        <w:t xml:space="preserve"> </w:t>
      </w:r>
      <w:r>
        <w:t xml:space="preserve">nature of the financial cycles is of crucial importance for unravelling</w:t>
      </w:r>
      <w:r>
        <w:t xml:space="preserve"> </w:t>
      </w:r>
      <w:r>
        <w:t xml:space="preserve">business cycles. Our study results in financial big data can have an</w:t>
      </w:r>
      <w:r>
        <w:t xml:space="preserve"> </w:t>
      </w:r>
      <w:r>
        <w:t xml:space="preserve">essential role in this attempt.  </w:t>
      </w:r>
    </w:p>
    <w:p>
      <w:pPr>
        <w:pStyle w:val="BodyText"/>
      </w:pPr>
      <w:r>
        <w:t xml:space="preserve">The rest of the papers is structured as follows: after the introduction</w:t>
      </w:r>
      <w:r>
        <w:t xml:space="preserve"> </w:t>
      </w:r>
      <w:r>
        <w:t xml:space="preserve">on financial cycles and big data link, literature with interest in</w:t>
      </w:r>
      <w:r>
        <w:t xml:space="preserve"> </w:t>
      </w:r>
      <w:r>
        <w:t xml:space="preserve">financial big data is presented. In section three, we describe data used</w:t>
      </w:r>
      <w:r>
        <w:t xml:space="preserve"> </w:t>
      </w:r>
      <w:r>
        <w:t xml:space="preserve">in the study and methodology we apply to obtain the results on tested</w:t>
      </w:r>
      <w:r>
        <w:t xml:space="preserve"> </w:t>
      </w:r>
      <w:r>
        <w:t xml:space="preserve">hypothesis. Empirical results discussion and implications are presented</w:t>
      </w:r>
      <w:r>
        <w:t xml:space="preserve"> </w:t>
      </w:r>
      <w:r>
        <w:t xml:space="preserve">in section four, while part five bring up conclusions on the role and</w:t>
      </w:r>
      <w:r>
        <w:t xml:space="preserve"> </w:t>
      </w:r>
      <w:r>
        <w:t xml:space="preserve">importance of financial big data for financial and economic stability</w:t>
      </w:r>
      <w:r>
        <w:t xml:space="preserve"> </w:t>
      </w:r>
      <w:r>
        <w:t xml:space="preserve">analysis.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financial-big-data-implication-for-financial-cycles-a-review"/>
      <w:bookmarkEnd w:id="22"/>
      <w:r>
        <w:t xml:space="preserve">Financial Big Data Implication for Financial Cycles: A Review</w:t>
      </w:r>
    </w:p>
    <w:p>
      <w:pPr>
        <w:pStyle w:val="FirstParagraph"/>
      </w:pPr>
      <w:r>
        <w:br w:type="textWrapping"/>
      </w:r>
      <w:r>
        <w:t xml:space="preserve">The literature on the importance of financial big data for financial</w:t>
      </w:r>
      <w:r>
        <w:t xml:space="preserve"> </w:t>
      </w:r>
      <w:r>
        <w:t xml:space="preserve">cycles measurement is novel and scarce. (Hassani et al. 2015) offer a</w:t>
      </w:r>
      <w:r>
        <w:t xml:space="preserve"> </w:t>
      </w:r>
      <w:r>
        <w:t xml:space="preserve">review of the pros and cons of using big data for the purpose of</w:t>
      </w:r>
      <w:r>
        <w:t xml:space="preserve"> </w:t>
      </w:r>
      <w:r>
        <w:t xml:space="preserve">forecasting. (Alessi et al. 2009) study show large macroeconomic and</w:t>
      </w:r>
      <w:r>
        <w:t xml:space="preserve"> </w:t>
      </w:r>
      <w:r>
        <w:t xml:space="preserve">financial data improve forecast performance in finance and</w:t>
      </w:r>
      <w:r>
        <w:t xml:space="preserve"> </w:t>
      </w:r>
      <w:r>
        <w:t xml:space="preserve">economics. (Altissimo et al. 2010) provide evidence of using big data to</w:t>
      </w:r>
      <w:r>
        <w:t xml:space="preserve"> </w:t>
      </w:r>
      <w:r>
        <w:t xml:space="preserve">improve the forecast accuracy when using band-pass filters. Using data</w:t>
      </w:r>
      <w:r>
        <w:t xml:space="preserve"> </w:t>
      </w:r>
      <w:r>
        <w:t xml:space="preserve">from the google trends in the study of (Choi et al. 2012) improve the</w:t>
      </w:r>
      <w:r>
        <w:t xml:space="preserve"> </w:t>
      </w:r>
      <w:r>
        <w:t xml:space="preserve">forecasting prediction for economic indicators. (Gupta et al. 2014: 229–264) </w:t>
      </w:r>
      <w:r>
        <w:t xml:space="preserve"> </w:t>
      </w:r>
      <w:r>
        <w:t xml:space="preserve">forecast employment using classical and Bayesian methods applied to</w:t>
      </w:r>
      <w:r>
        <w:t xml:space="preserve"> </w:t>
      </w:r>
      <w:r>
        <w:t xml:space="preserve">eight sectors for the US economy with 143 monthly series. Forecast model</w:t>
      </w:r>
      <w:r>
        <w:t xml:space="preserve"> </w:t>
      </w:r>
      <w:r>
        <w:t xml:space="preserve">using big data information outperform other models in forecast</w:t>
      </w:r>
      <w:r>
        <w:t xml:space="preserve"> </w:t>
      </w:r>
      <w:r>
        <w:t xml:space="preserve">accuracy. </w:t>
      </w:r>
    </w:p>
    <w:p>
      <w:pPr>
        <w:pStyle w:val="BodyText"/>
      </w:pPr>
      <w:r>
        <w:t xml:space="preserve">Large data sets (big data) availability is essential but not sufficient</w:t>
      </w:r>
      <w:r>
        <w:t xml:space="preserve"> </w:t>
      </w:r>
      <w:r>
        <w:t xml:space="preserve">condition for improving forecast accuracy or model</w:t>
      </w:r>
      <w:r>
        <w:t xml:space="preserve"> </w:t>
      </w:r>
      <w:r>
        <w:t xml:space="preserve">predictions (Silver 2012). (Ba</w:t>
      </w:r>
      <w:r>
        <w:t xml:space="preserve">ń</w:t>
      </w:r>
      <w:r>
        <w:t xml:space="preserve">bura et al. 2014) find forecasting</w:t>
      </w:r>
      <w:r>
        <w:t xml:space="preserve"> </w:t>
      </w:r>
      <w:r>
        <w:t xml:space="preserve">with large datasets more complex for the purpose of signal extraction. </w:t>
      </w:r>
    </w:p>
    <w:p>
      <w:pPr>
        <w:pStyle w:val="BodyText"/>
      </w:pPr>
      <w:r>
        <w:t xml:space="preserve">To fully understand financial cycles we need big data on the micro and</w:t>
      </w:r>
      <w:r>
        <w:t xml:space="preserve"> </w:t>
      </w:r>
      <w:r>
        <w:t xml:space="preserve">macro level. (Wibisono et al. 2019: 970) </w:t>
      </w:r>
    </w:p>
    <w:p>
      <w:pPr>
        <w:pStyle w:val="BodyText"/>
      </w:pPr>
      <w:r>
        <w:t xml:space="preserve">define big data as a large volume of information resulting from the web,</w:t>
      </w:r>
      <w:r>
        <w:t xml:space="preserve"> </w:t>
      </w:r>
      <w:r>
        <w:t xml:space="preserve">financial, administrative and commercial records. They find the</w:t>
      </w:r>
      <w:r>
        <w:t xml:space="preserve"> </w:t>
      </w:r>
      <w:r>
        <w:t xml:space="preserve">financial big data phenomenon as a new opportunity for decision-making</w:t>
      </w:r>
      <w:r>
        <w:t xml:space="preserve"> </w:t>
      </w:r>
      <w:r>
        <w:t xml:space="preserve">process improvement (complete, immediate and granural information adding</w:t>
      </w:r>
      <w:r>
        <w:t xml:space="preserve"> </w:t>
      </w:r>
      <w:r>
        <w:t xml:space="preserve">new value to</w:t>
      </w:r>
      <w:r>
        <w:t xml:space="preserve"> </w:t>
      </w:r>
      <w:r>
        <w:t xml:space="preserve">‘</w:t>
      </w:r>
      <w:r>
        <w:t xml:space="preserve">traditional</w:t>
      </w:r>
      <w:r>
        <w:t xml:space="preserve">’</w:t>
      </w:r>
      <w:r>
        <w:t xml:space="preserve"> </w:t>
      </w:r>
      <w:r>
        <w:t xml:space="preserve">macroeconomic indicators). Therefore, big</w:t>
      </w:r>
      <w:r>
        <w:t xml:space="preserve"> </w:t>
      </w:r>
      <w:r>
        <w:t xml:space="preserve">data analytics and artificial intelligence offer new opportunities to</w:t>
      </w:r>
      <w:r>
        <w:t xml:space="preserve"> </w:t>
      </w:r>
      <w:r>
        <w:t xml:space="preserve">central banks and economic agents on the financial markets.</w:t>
      </w:r>
      <w:r>
        <w:t xml:space="preserve"> </w:t>
      </w:r>
      <w:r>
        <w:t xml:space="preserve">Opportunities but challenges as well (resources availability, unresolved</w:t>
      </w:r>
      <w:r>
        <w:t xml:space="preserve"> </w:t>
      </w:r>
      <w:r>
        <w:t xml:space="preserve">changing decision-making processes, best policy</w:t>
      </w:r>
      <w:r>
        <w:t xml:space="preserve"> </w:t>
      </w:r>
      <w:r>
        <w:t xml:space="preserve">introduction). (Subrahmanyam 2019) review the body of literature on big</w:t>
      </w:r>
      <w:r>
        <w:t xml:space="preserve"> </w:t>
      </w:r>
      <w:r>
        <w:t xml:space="preserve">data in the finance application.  Big data application in finance ranges</w:t>
      </w:r>
      <w:r>
        <w:t xml:space="preserve"> </w:t>
      </w:r>
      <w:r>
        <w:t xml:space="preserve">from the basic application as in (TETLOCK 2007: 1139–1168) to</w:t>
      </w:r>
      <w:r>
        <w:t xml:space="preserve"> </w:t>
      </w:r>
      <w:r>
        <w:t xml:space="preserve">complex (Tetlock et al. 2008). According to their study, text analysis in</w:t>
      </w:r>
      <w:r>
        <w:t xml:space="preserve"> </w:t>
      </w:r>
      <w:r>
        <w:t xml:space="preserve">the financial press capture hard-to-quantify aspects of firms’</w:t>
      </w:r>
      <w:r>
        <w:t xml:space="preserve"> </w:t>
      </w:r>
      <w:r>
        <w:t xml:space="preserve">fundamental supporting robust low firm’ earning forecasting. Big data</w:t>
      </w:r>
      <w:r>
        <w:t xml:space="preserve"> </w:t>
      </w:r>
      <w:r>
        <w:t xml:space="preserve">based on quantifying language application can help to improve methods</w:t>
      </w:r>
      <w:r>
        <w:t xml:space="preserve"> </w:t>
      </w:r>
      <w:r>
        <w:t xml:space="preserve">for measuring firms’ fundamentals or forecast market trends. Big data in</w:t>
      </w:r>
      <w:r>
        <w:t xml:space="preserve"> </w:t>
      </w:r>
      <w:r>
        <w:t xml:space="preserve">finance also help to fill in the gap between qualitative and</w:t>
      </w:r>
      <w:r>
        <w:t xml:space="preserve"> </w:t>
      </w:r>
      <w:r>
        <w:t xml:space="preserve">quantitative data application (Huang 2018: 164–182). His study results</w:t>
      </w:r>
      <w:r>
        <w:t xml:space="preserve"> </w:t>
      </w:r>
      <w:r>
        <w:t xml:space="preserve">show big data on consumers opinions (from Amazon. com) when used provide</w:t>
      </w:r>
      <w:r>
        <w:t xml:space="preserve"> </w:t>
      </w:r>
      <w:r>
        <w:t xml:space="preserve">a more robust prediction about firms’ cash flow and stock</w:t>
      </w:r>
      <w:r>
        <w:t xml:space="preserve"> </w:t>
      </w:r>
      <w:r>
        <w:t xml:space="preserve">pricing.  (Chordia et al. 2018: 4650–4687)  show that using newsfeed data on</w:t>
      </w:r>
      <w:r>
        <w:t xml:space="preserve"> </w:t>
      </w:r>
      <w:r>
        <w:t xml:space="preserve">macroeconomic conditions only minorly increase profits from fast</w:t>
      </w:r>
      <w:r>
        <w:t xml:space="preserve"> </w:t>
      </w:r>
      <w:r>
        <w:t xml:space="preserve">trading. According to the study of (Fan et al. 2012: 412–428), using</w:t>
      </w:r>
      <w:r>
        <w:t xml:space="preserve"> </w:t>
      </w:r>
      <w:r>
        <w:t xml:space="preserve">high-frequency financial data improve the efficiency and stability of</w:t>
      </w:r>
      <w:r>
        <w:t xml:space="preserve"> </w:t>
      </w:r>
      <w:r>
        <w:t xml:space="preserve">portfolio selection. The literature on big data application for policy</w:t>
      </w:r>
      <w:r>
        <w:t xml:space="preserve"> </w:t>
      </w:r>
      <w:r>
        <w:t xml:space="preserve">purpose is much more limited (Tissot 2019: 1–21). He lists the</w:t>
      </w:r>
      <w:r>
        <w:t xml:space="preserve"> </w:t>
      </w:r>
      <w:r>
        <w:t xml:space="preserve">advantages and disadvantages of using financial big data to obtain</w:t>
      </w:r>
      <w:r>
        <w:t xml:space="preserve"> </w:t>
      </w:r>
      <w:r>
        <w:t xml:space="preserve">macro-relevant micro information, better macro aggregates to improve</w:t>
      </w:r>
      <w:r>
        <w:t xml:space="preserve"> </w:t>
      </w:r>
      <w:r>
        <w:t xml:space="preserve">policy design and assessment. </w:t>
      </w:r>
    </w:p>
    <w:p>
      <w:pPr>
        <w:pStyle w:val="BodyText"/>
      </w:pPr>
      <w:r>
        <w:t xml:space="preserve">Financial big data opened its way to portfolio and decision making</w:t>
      </w:r>
      <w:r>
        <w:t xml:space="preserve"> </w:t>
      </w:r>
      <w:r>
        <w:t xml:space="preserve">processes on the micro-level and it is just moving (slowly) on the</w:t>
      </w:r>
      <w:r>
        <w:t xml:space="preserve"> </w:t>
      </w:r>
      <w:r>
        <w:t xml:space="preserve">macro-level (central banks and financial authorities).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dataset-and-stylized-facts-on-financial-cycles-in-the-uk-usa-japan-and-china-2005---2019"/>
      <w:bookmarkEnd w:id="23"/>
      <w:r>
        <w:t xml:space="preserve">Dataset and Stylized Facts on Financial Cycles in the UK, USA,</w:t>
      </w:r>
      <w:r>
        <w:t xml:space="preserve"> </w:t>
      </w:r>
      <w:r>
        <w:t xml:space="preserve">Japan and China 2005 -</w:t>
      </w:r>
      <w:r>
        <w:t xml:space="preserve"> </w:t>
      </w:r>
      <w:r>
        <w:t xml:space="preserve">2019</w:t>
      </w:r>
    </w:p>
    <w:p>
      <w:pPr>
        <w:pStyle w:val="FirstParagraph"/>
      </w:pPr>
      <w:r>
        <w:t xml:space="preserve">Our paper is first to combine financial big data for the purpose of</w:t>
      </w:r>
      <w:r>
        <w:t xml:space="preserve"> </w:t>
      </w:r>
      <w:r>
        <w:t xml:space="preserve">financial cycles predictions. We follow  (Wibisono et al. 2019: 970) definition</w:t>
      </w:r>
      <w:r>
        <w:t xml:space="preserve"> </w:t>
      </w:r>
      <w:r>
        <w:t xml:space="preserve">of financial big data and use the following variables: </w:t>
      </w:r>
    </w:p>
    <w:p>
      <w:pPr>
        <w:numPr>
          <w:numId w:val="1001"/>
          <w:ilvl w:val="0"/>
        </w:numPr>
      </w:pPr>
      <w:r>
        <w:t xml:space="preserve">HPI = Residential property prices selected - Real - Index, 2010 = 100,</w:t>
      </w:r>
      <w:r>
        <w:t xml:space="preserve"> </w:t>
      </w:r>
      <w:r>
        <w:t xml:space="preserve">Bank for International Settlements</w:t>
      </w:r>
    </w:p>
    <w:p>
      <w:pPr>
        <w:numPr>
          <w:numId w:val="1001"/>
          <w:ilvl w:val="0"/>
        </w:numPr>
      </w:pPr>
      <w:r>
        <w:t xml:space="preserve">CRS = Credit to Private non-financial sector from all sectors at</w:t>
      </w:r>
      <w:r>
        <w:t xml:space="preserve"> </w:t>
      </w:r>
      <w:r>
        <w:t xml:space="preserve">Market value - Percentage of GDP - Adjusted for breaks, Bank for</w:t>
      </w:r>
      <w:r>
        <w:t xml:space="preserve"> </w:t>
      </w:r>
      <w:r>
        <w:t xml:space="preserve">International Settlements</w:t>
      </w:r>
    </w:p>
    <w:p>
      <w:pPr>
        <w:numPr>
          <w:numId w:val="1001"/>
          <w:ilvl w:val="0"/>
        </w:numPr>
      </w:pPr>
      <w:r>
        <w:t xml:space="preserve">CRT = Credit to Private non-financial sector from all sectors at</w:t>
      </w:r>
      <w:r>
        <w:t xml:space="preserve"> </w:t>
      </w:r>
      <w:r>
        <w:t xml:space="preserve">Market value - US dollar - Adjusted for breaks, Bank for International</w:t>
      </w:r>
      <w:r>
        <w:t xml:space="preserve"> </w:t>
      </w:r>
      <w:r>
        <w:t xml:space="preserve">Settlements</w:t>
      </w:r>
    </w:p>
    <w:p>
      <w:pPr>
        <w:numPr>
          <w:numId w:val="1001"/>
          <w:ilvl w:val="0"/>
        </w:numPr>
      </w:pPr>
      <w:r>
        <w:t xml:space="preserve">SHARE = OECD (2019), Share prices (indicator). doi:</w:t>
      </w:r>
      <w:r>
        <w:t xml:space="preserve"> </w:t>
      </w:r>
      <w:r>
        <w:t xml:space="preserve">10.1787/6ad82f42-en (Accessed on 29 October 2019), 2015=100</w:t>
      </w:r>
    </w:p>
    <w:p>
      <w:pPr>
        <w:numPr>
          <w:numId w:val="1001"/>
          <w:ilvl w:val="0"/>
        </w:numPr>
      </w:pPr>
      <w:r>
        <w:t xml:space="preserve">CCI = OECD (2019), Consumer confidence index (CCI) (indicator). doi:</w:t>
      </w:r>
      <w:r>
        <w:t xml:space="preserve"> </w:t>
      </w:r>
      <w:r>
        <w:t xml:space="preserve">10.1787/46434d78-en (Accessed on 30 October 2019), Long-term</w:t>
      </w:r>
      <w:r>
        <w:t xml:space="preserve"> </w:t>
      </w:r>
      <w:r>
        <w:t xml:space="preserve">average=100</w:t>
      </w:r>
    </w:p>
    <w:p>
      <w:pPr>
        <w:numPr>
          <w:numId w:val="1001"/>
          <w:ilvl w:val="0"/>
        </w:numPr>
      </w:pPr>
      <w:r>
        <w:t xml:space="preserve">BCI = OECD (2019), Business confidence index (BCI) (indicator). doi:</w:t>
      </w:r>
      <w:r>
        <w:t xml:space="preserve"> </w:t>
      </w:r>
      <w:r>
        <w:t xml:space="preserve">10.1787/3092dc4f-en (Accessed on 30 October 2019), Long-average=100</w:t>
      </w:r>
    </w:p>
    <w:p>
      <w:pPr>
        <w:numPr>
          <w:numId w:val="1001"/>
          <w:ilvl w:val="0"/>
        </w:numPr>
      </w:pPr>
      <w:r>
        <w:t xml:space="preserve">WEB = Google trends data on a financial crisis search term (Numbers</w:t>
      </w:r>
      <w:r>
        <w:t xml:space="preserve"> </w:t>
      </w:r>
      <w:r>
        <w:t xml:space="preserve">represent search interest relative to the highest point on the chart</w:t>
      </w:r>
      <w:r>
        <w:t xml:space="preserve"> </w:t>
      </w:r>
      <w:r>
        <w:t xml:space="preserve">for the given region and time. A value of 100 is the peak popularity</w:t>
      </w:r>
      <w:r>
        <w:t xml:space="preserve"> </w:t>
      </w:r>
      <w:r>
        <w:t xml:space="preserve">for the term. A value of 50 means that the term is half as popular. A</w:t>
      </w:r>
      <w:r>
        <w:t xml:space="preserve"> </w:t>
      </w:r>
      <w:r>
        <w:t xml:space="preserve">score of 0 means there was not enough data for this term)</w:t>
      </w:r>
    </w:p>
    <w:p>
      <w:pPr>
        <w:numPr>
          <w:numId w:val="1001"/>
          <w:ilvl w:val="0"/>
        </w:numPr>
      </w:pPr>
      <w:r>
        <w:t xml:space="preserve">OECD (2019), Long-term interest rates (indicator). doi:</w:t>
      </w:r>
      <w:r>
        <w:t xml:space="preserve"> </w:t>
      </w:r>
      <w:r>
        <w:t xml:space="preserve">10.1787/662d712c-en (Accessed on 29 October 2019), Long-term interest</w:t>
      </w:r>
      <w:r>
        <w:t xml:space="preserve"> </w:t>
      </w:r>
      <w:r>
        <w:t xml:space="preserve">rates refer to government bonds maturing in ten years. For China we</w:t>
      </w:r>
      <w:r>
        <w:t xml:space="preserve"> </w:t>
      </w:r>
      <w:r>
        <w:t xml:space="preserve">use China 10-Year Bond Yield government bonds maturing in ten years,</w:t>
      </w:r>
      <w:r>
        <w:t xml:space="preserve"> </w:t>
      </w:r>
      <w:r>
        <w:t xml:space="preserve">investing com,</w:t>
      </w:r>
      <w:r>
        <w:t xml:space="preserve"> </w:t>
      </w:r>
      <w:hyperlink r:id="rId24">
        <w:r>
          <w:rPr>
            <w:rStyle w:val="Hyperlink"/>
          </w:rPr>
          <w:t xml:space="preserve">https://www.investing.com/rates-bonds/china-10-year-bond-yield-historical-data</w:t>
        </w:r>
      </w:hyperlink>
      <w:r>
        <w:t xml:space="preserve">.</w:t>
      </w:r>
    </w:p>
    <w:p>
      <w:pPr>
        <w:pStyle w:val="FirstParagraph"/>
      </w:pPr>
      <w:r>
        <w:t xml:space="preserve">We use data for the United Kingdom (UK), United States (US), Japan (Jap)</w:t>
      </w:r>
      <w:r>
        <w:t xml:space="preserve"> </w:t>
      </w:r>
      <w:r>
        <w:t xml:space="preserve">and China (CHI) from Q1 2004 to Q1 2019 (quarterly data).  Previous</w:t>
      </w:r>
      <w:r>
        <w:t xml:space="preserve"> </w:t>
      </w:r>
      <w:r>
        <w:t xml:space="preserve">studies on financial cycles use data on residential property prices,</w:t>
      </w:r>
      <w:r>
        <w:t xml:space="preserve"> </w:t>
      </w:r>
      <w:r>
        <w:t xml:space="preserve">credits to private non-financial sectors and credits to private</w:t>
      </w:r>
      <w:r>
        <w:t xml:space="preserve"> </w:t>
      </w:r>
      <w:r>
        <w:t xml:space="preserve">non-financial sectors share in the GDP (gross domestic product). Facing</w:t>
      </w:r>
      <w:r>
        <w:t xml:space="preserve"> </w:t>
      </w:r>
      <w:r>
        <w:t xml:space="preserve">limited data availability on financial conditions and web we had to</w:t>
      </w:r>
      <w:r>
        <w:t xml:space="preserve"> </w:t>
      </w:r>
      <w:r>
        <w:t xml:space="preserve">choose between longer time series and a variety of data sources. For the</w:t>
      </w:r>
      <w:r>
        <w:t xml:space="preserve"> </w:t>
      </w:r>
      <w:r>
        <w:t xml:space="preserve">purpose of testing the importance of financial big data in financial</w:t>
      </w:r>
      <w:r>
        <w:t xml:space="preserve"> </w:t>
      </w:r>
      <w:r>
        <w:t xml:space="preserve">cycles prediction, we use data from various sources: web-based</w:t>
      </w:r>
      <w:r>
        <w:t xml:space="preserve"> </w:t>
      </w:r>
      <w:r>
        <w:t xml:space="preserve">indicators - social networks (financial crisis search term importance),</w:t>
      </w:r>
      <w:r>
        <w:t xml:space="preserve"> </w:t>
      </w:r>
      <w:r>
        <w:t xml:space="preserve">financial market data (share prices, residential property prices,</w:t>
      </w:r>
      <w:r>
        <w:t xml:space="preserve"> </w:t>
      </w:r>
      <w:r>
        <w:t xml:space="preserve">credits), administrative data (consumer confidence index, business</w:t>
      </w:r>
      <w:r>
        <w:t xml:space="preserve"> </w:t>
      </w:r>
      <w:r>
        <w:t xml:space="preserve">confidence index, long-term interest rates), commercial data sets</w:t>
      </w:r>
      <w:r>
        <w:t xml:space="preserve"> </w:t>
      </w:r>
      <w:r>
        <w:t xml:space="preserve">(government bonds yields). </w:t>
      </w:r>
    </w:p>
    <w:p>
      <w:pPr>
        <w:pStyle w:val="BodyText"/>
      </w:pPr>
      <w:r>
        <w:t xml:space="preserve">To measure financial cycle components, we use spectral analysis</w:t>
      </w:r>
      <w:r>
        <w:t xml:space="preserve"> </w:t>
      </w:r>
      <w:r>
        <w:t xml:space="preserve">techniques - Eviews 10.0 adds-in for Spectral</w:t>
      </w:r>
      <w:r>
        <w:t xml:space="preserve"> </w:t>
      </w:r>
      <w:r>
        <w:t xml:space="preserve">analysis (Ronderos 2014). Prior to analysis, we normalize and centre</w:t>
      </w:r>
      <w:r>
        <w:t xml:space="preserve"> </w:t>
      </w:r>
      <w:r>
        <w:t xml:space="preserve">all the series for the purpose of eliminating noise in the series. Since</w:t>
      </w:r>
      <w:r>
        <w:t xml:space="preserve"> </w:t>
      </w:r>
      <w:r>
        <w:t xml:space="preserve">normalization procedure increases the possibility of spurious cycles</w:t>
      </w:r>
      <w:r>
        <w:t xml:space="preserve"> </w:t>
      </w:r>
      <w:r>
        <w:t xml:space="preserve">existence in the series, we apply (Ronderos 2014) significant pass</w:t>
      </w:r>
      <w:r>
        <w:t xml:space="preserve"> </w:t>
      </w:r>
      <w:r>
        <w:t xml:space="preserve">filter (SPF) method of the form:</w:t>
      </w:r>
    </w:p>
    <w:p>
      <w:pPr>
        <w:pStyle w:val="BodyText"/>
      </w:pPr>
      <m:oMath>
        <m:sSub>
          <m:e>
            <m:r>
              <m:t>F</m:t>
            </m:r>
          </m:e>
          <m:sub>
            <m:r>
              <m:t>t</m:t>
            </m:r>
          </m:sub>
        </m:sSub>
        <m:r>
          <m:t>=</m:t>
        </m:r>
        <m:nary>
          <m:naryPr>
            <m:chr m:val="∑"/>
            <m:limLoc m:val="undOvr"/>
            <m:subHide m:val="0"/>
            <m:supHide m:val="0"/>
          </m:naryPr>
          <m:sub>
            <m:r>
              <m:t>k</m:t>
            </m:r>
            <m:r>
              <m:t>=</m:t>
            </m:r>
            <m:r>
              <m:t>0</m:t>
            </m:r>
          </m:sub>
          <m:sup>
            <m:r>
              <m:t>n</m:t>
            </m:r>
            <m:r>
              <m:t>/</m:t>
            </m:r>
            <m:r>
              <m:t>2</m:t>
            </m:r>
          </m:sup>
          <m:e>
            <m:d>
              <m:dPr>
                <m:begChr m:val="["/>
                <m:endChr m:val="]"/>
                <m:grow/>
              </m:dPr>
              <m:e>
                <m:sSub>
                  <m:e>
                    <m:r>
                      <m:t>A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cos</m:t>
                </m:r>
                <m:d>
                  <m:dPr>
                    <m:begChr m:val="("/>
                    <m:endChr m:val=")"/>
                    <m:grow/>
                  </m:dPr>
                  <m:e>
                    <m:sSub>
                      <m:e>
                        <m:r>
                          <m:t>ω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t</m:t>
                    </m:r>
                  </m:e>
                </m:d>
                <m:r>
                  <m:t>+</m:t>
                </m:r>
                <m:sSub>
                  <m:e>
                    <m:r>
                      <m:t>B</m:t>
                    </m:r>
                  </m:e>
                  <m:sub>
                    <m:r>
                      <m:t>k</m:t>
                    </m:r>
                  </m:sub>
                </m:sSub>
                <m:r>
                  <m:rPr>
                    <m:sty m:val="p"/>
                  </m:rPr>
                  <m:t>sin</m:t>
                </m:r>
                <m:d>
                  <m:dPr>
                    <m:begChr m:val="("/>
                    <m:endChr m:val=")"/>
                    <m:grow/>
                  </m:dPr>
                  <m:e>
                    <m:sSub>
                      <m:e>
                        <m:r>
                          <m:t>ω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t</m:t>
                    </m:r>
                  </m:e>
                </m:d>
              </m:e>
            </m:d>
          </m:e>
        </m:nary>
      </m:oMath>
      <w:r>
        <w:t xml:space="preserve">(1)</w:t>
      </w:r>
    </w:p>
    <w:p>
      <w:pPr>
        <w:pStyle w:val="BodyText"/>
      </w:pPr>
      <w:r>
        <w:t xml:space="preserve">with F</w:t>
      </w:r>
      <w:r>
        <w:rPr>
          <w:vertAlign w:val="subscript"/>
        </w:rPr>
        <w:t xml:space="preserve">t</w:t>
      </w:r>
      <w:r>
        <w:t xml:space="preserve"> </w:t>
      </w:r>
      <w:r>
        <w:t xml:space="preserve">= filtered series, </w:t>
      </w:r>
      <m:oMath>
        <m:r>
          <m:t>(</m:t>
        </m:r>
        <m:sSub>
          <m:e>
            <m:r>
              <m:t>A</m:t>
            </m:r>
          </m:e>
          <m:sub>
            <m:r>
              <m:t>k</m:t>
            </m:r>
          </m:sub>
        </m:sSub>
        <m:r>
          <m:t>=</m:t>
        </m:r>
        <m:sSub>
          <m:e>
            <m:r>
              <m:t>a</m:t>
            </m:r>
          </m:e>
          <m:sub>
            <m:r>
              <m:t>k</m:t>
            </m:r>
          </m:sub>
        </m:sSub>
        <m:r>
          <m:t>)</m:t>
        </m:r>
        <m:r>
          <m:t>,</m:t>
        </m:r>
        <m:r>
          <m:t>(</m:t>
        </m:r>
        <m:sSub>
          <m:e>
            <m:r>
              <m:t>B</m:t>
            </m:r>
          </m:e>
          <m:sub>
            <m:r>
              <m:t>k</m:t>
            </m:r>
          </m:sub>
        </m:sSub>
        <m:r>
          <m:t>=</m:t>
        </m:r>
        <m:sSub>
          <m:e>
            <m:r>
              <m:t>b</m:t>
            </m:r>
          </m:e>
          <m:sub>
            <m:r>
              <m:t>k</m:t>
            </m:r>
          </m:sub>
        </m:sSub>
        <m:r>
          <m:t>)</m:t>
        </m:r>
        <m:r>
          <m:t>o</m:t>
        </m:r>
        <m:r>
          <m:t>r</m:t>
        </m:r>
        <m:r>
          <m:t>d</m:t>
        </m:r>
        <m:r>
          <m:t>i</m:t>
        </m:r>
        <m:r>
          <m:t>n</m:t>
        </m:r>
        <m:r>
          <m:t>a</m:t>
        </m:r>
        <m:r>
          <m:t>t</m:t>
        </m:r>
        <m:r>
          <m:t>e</m:t>
        </m:r>
        <m:r>
          <m:t>(</m:t>
        </m:r>
        <m:r>
          <m:t>I</m:t>
        </m:r>
        <m:d>
          <m:dPr>
            <m:begChr m:val="("/>
            <m:endChr m:val=")"/>
            <m:grow/>
          </m:dPr>
          <m:e>
            <m:sSub>
              <m:e>
                <m:r>
                  <m:t>ω</m:t>
                </m:r>
              </m:e>
              <m:sub>
                <m:r>
                  <m:t>k</m:t>
                </m:r>
              </m:sub>
            </m:sSub>
          </m:e>
        </m:d>
        <m:r>
          <m:t>)</m:t>
        </m:r>
      </m:oMath>
      <w:r>
        <w:t xml:space="preserve"> </w:t>
      </w:r>
      <w:r>
        <w:t xml:space="preserve">to test</w:t>
      </w:r>
      <w:r>
        <w:t xml:space="preserve"> </w:t>
      </w:r>
      <w:r>
        <w:t xml:space="preserve">statistical significance of the deterministic component in the spectrum.</w:t>
      </w:r>
    </w:p>
    <w:p>
      <w:pPr>
        <w:pStyle w:val="BodyText"/>
      </w:pPr>
      <w:r>
        <w:br w:type="textWrapping"/>
      </w:r>
      <w:r>
        <w:t xml:space="preserve">To test if the isolated deterministic cycles are statistically</w:t>
      </w:r>
      <w:r>
        <w:t xml:space="preserve"> </w:t>
      </w:r>
      <w:r>
        <w:t xml:space="preserve">significant we employ the following set of tests (Ronderos 2014),</w:t>
      </w:r>
      <w:r>
        <w:t xml:space="preserve"> </w:t>
      </w:r>
      <w:r>
        <w:t xml:space="preserve">(</w:t>
      </w:r>
      <w:r>
        <w:t xml:space="preserve">William Wei</w:t>
      </w:r>
      <w:r>
        <w:t xml:space="preserve"> </w:t>
      </w:r>
      <w:r>
        <w:t xml:space="preserve">1994), (Whittle 1952: 309), (Fisher 1929: 54–59),</w:t>
      </w:r>
      <w:r>
        <w:t xml:space="preserve"> </w:t>
      </w:r>
      <w:r>
        <w:t xml:space="preserve">(Bartlett 1954: 296–298):</w:t>
      </w:r>
    </w:p>
    <w:p>
      <w:pPr>
        <w:pStyle w:val="BodyText"/>
      </w:pPr>
      <w:r>
        <w:t xml:space="preserve">F test  </w:t>
      </w:r>
      <m:oMath>
        <m:r>
          <m:t>F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sSubSup>
                  <m:e>
                    <m:r>
                      <m:t>a</m:t>
                    </m:r>
                  </m:e>
                  <m:sub>
                    <m:r>
                      <m:t>k</m:t>
                    </m:r>
                  </m:sub>
                  <m:sup>
                    <m:r>
                      <m:t>2</m:t>
                    </m:r>
                  </m:sup>
                </m:sSubSup>
                <m:r>
                  <m:t>+</m:t>
                </m:r>
                <m:sSubSup>
                  <m:e>
                    <m:r>
                      <m:t>b</m:t>
                    </m:r>
                  </m:e>
                  <m:sub>
                    <m:r>
                      <m:t>k</m:t>
                    </m:r>
                  </m:sub>
                  <m:sup>
                    <m:r>
                      <m:t>2</m:t>
                    </m:r>
                  </m:sup>
                </m:sSubSup>
              </m:e>
            </m:d>
            <m:r>
              <m:t>/</m:t>
            </m:r>
            <m:sSub>
              <m:e>
                <m:r>
                  <m:t>ν</m:t>
                </m:r>
              </m:e>
              <m:sub>
                <m:r>
                  <m:t>1</m:t>
                </m:r>
              </m:sub>
            </m:sSub>
          </m:num>
          <m:den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j</m:t>
                </m:r>
                <m:r>
                  <m:t>=</m:t>
                </m:r>
                <m:r>
                  <m:t>1</m:t>
                </m:r>
                <m:r>
                  <m:t>,</m:t>
                </m:r>
                <m:r>
                  <m:t>j</m:t>
                </m:r>
                <m:r>
                  <m:t>≠</m:t>
                </m:r>
                <m:r>
                  <m:t>k</m:t>
                </m:r>
              </m:sub>
              <m:sup>
                <m:r>
                  <m:t>n</m:t>
                </m:r>
                <m:r>
                  <m:t>/</m:t>
                </m:r>
                <m:r>
                  <m:t>2</m:t>
                </m:r>
              </m:sup>
              <m:e>
                <m:d>
                  <m:dPr>
                    <m:begChr m:val="("/>
                    <m:endChr m:val=")"/>
                    <m:grow/>
                  </m:dPr>
                  <m:e>
                    <m:sSubSup>
                      <m:e>
                        <m:r>
                          <m:t>a</m:t>
                        </m:r>
                      </m:e>
                      <m:sub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  <m:r>
                      <m:t>+</m:t>
                    </m:r>
                    <m:sSubSup>
                      <m:e>
                        <m:r>
                          <m:t>b</m:t>
                        </m:r>
                      </m:e>
                      <m:sub>
                        <m:r>
                          <m:t>j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e>
                </m:d>
              </m:e>
            </m:nary>
            <m:r>
              <m:t>/</m:t>
            </m:r>
            <m:sSub>
              <m:e>
                <m:r>
                  <m:t>ν</m:t>
                </m:r>
              </m:e>
              <m:sub>
                <m:r>
                  <m:t>2</m:t>
                </m:r>
              </m:sub>
            </m:sSub>
          </m:den>
        </m:f>
        <m:r>
          <m:t>∼</m:t>
        </m:r>
        <m:r>
          <m:t>F</m:t>
        </m:r>
        <m:d>
          <m:dPr>
            <m:begChr m:val="("/>
            <m:endChr m:val=")"/>
            <m:grow/>
          </m:dPr>
          <m:e>
            <m:sSub>
              <m:e>
                <m:r>
                  <m:t>ν</m:t>
                </m:r>
              </m:e>
              <m:sub>
                <m:r>
                  <m:t>1</m:t>
                </m:r>
              </m:sub>
            </m:sSub>
            <m:r>
              <m:t>,</m:t>
            </m:r>
            <m:sSub>
              <m:e>
                <m:r>
                  <m:t>ν</m:t>
                </m:r>
              </m:e>
              <m:sub>
                <m:r>
                  <m:t>2</m:t>
                </m:r>
              </m:sub>
            </m:sSub>
          </m:e>
        </m:d>
      </m:oMath>
      <w:r>
        <w:t xml:space="preserve"> </w:t>
      </w:r>
      <w:r>
        <w:t xml:space="preserve">(2)</w:t>
      </w:r>
    </w:p>
    <w:p>
      <w:pPr>
        <w:pStyle w:val="BodyText"/>
      </w:pPr>
      <w:r>
        <w:t xml:space="preserve">Fisher test  </w:t>
      </w:r>
      <m:oMath>
        <m:r>
          <m:t>T</m:t>
        </m:r>
        <m:r>
          <m:t>=</m:t>
        </m:r>
        <m:f>
          <m:fPr>
            <m:type m:val="bar"/>
          </m:fPr>
          <m:num>
            <m:r>
              <m:rPr>
                <m:sty m:val="p"/>
              </m:rPr>
              <m:t>max</m:t>
            </m:r>
            <m:d>
              <m:dPr>
                <m:begChr m:val="{"/>
                <m:endChr m:val="}"/>
                <m:grow/>
              </m:dPr>
              <m:e>
                <m:r>
                  <m:t>I</m:t>
                </m:r>
                <m:d>
                  <m:dPr>
                    <m:begChr m:val="("/>
                    <m:endChr m:val=")"/>
                    <m:grow/>
                  </m:dPr>
                  <m:e>
                    <m:sSub>
                      <m:e>
                        <m:r>
                          <m:t>ω</m:t>
                        </m:r>
                      </m:e>
                      <m:sub>
                        <m:r>
                          <m:t>k</m:t>
                        </m:r>
                      </m:sub>
                    </m:sSub>
                  </m:e>
                </m:d>
              </m:e>
            </m:d>
          </m:num>
          <m:den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k</m:t>
                </m:r>
                <m:r>
                  <m:t>=</m:t>
                </m:r>
                <m:r>
                  <m:t>1</m:t>
                </m:r>
              </m:sub>
              <m:sup>
                <m:r>
                  <m:t>n</m:t>
                </m:r>
                <m:r>
                  <m:t>/</m:t>
                </m:r>
                <m:r>
                  <m:t>2</m:t>
                </m:r>
              </m:sup>
              <m:e>
                <m:r>
                  <m:t>I</m:t>
                </m:r>
              </m:e>
            </m:nary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ω</m:t>
                    </m:r>
                  </m:e>
                  <m:sub>
                    <m:r>
                      <m:t>k</m:t>
                    </m:r>
                  </m:sub>
                </m:sSub>
              </m:e>
            </m:d>
          </m:den>
        </m:f>
      </m:oMath>
      <w:r>
        <w:t xml:space="preserve"> </w:t>
      </w:r>
      <w:r>
        <w:t xml:space="preserve">(3)</w:t>
      </w:r>
    </w:p>
    <w:p>
      <w:pPr>
        <w:pStyle w:val="BodyText"/>
      </w:pPr>
      <w:r>
        <w:t xml:space="preserve">Whittle test  </w:t>
      </w:r>
      <m:oMath>
        <m:sSub>
          <m:e>
            <m:r>
              <m:t>T</m:t>
            </m:r>
          </m:e>
          <m:sub>
            <m:r>
              <m:t>2</m:t>
            </m:r>
          </m:sub>
        </m:sSub>
        <m:r>
          <m:t>=</m:t>
        </m:r>
        <m:f>
          <m:fPr>
            <m:type m:val="bar"/>
          </m:fPr>
          <m:num>
            <m:sSup>
              <m:e>
                <m:r>
                  <m:t>I</m:t>
                </m:r>
              </m:e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ω</m:t>
                    </m:r>
                  </m:e>
                  <m:sub>
                    <m:r>
                      <m:t>(</m:t>
                    </m:r>
                    <m:r>
                      <m:t>2</m:t>
                    </m:r>
                    <m:r>
                      <m:t>)</m:t>
                    </m:r>
                  </m:sub>
                </m:sSub>
              </m:e>
            </m:d>
          </m:num>
          <m:den>
            <m:nary>
              <m:naryPr>
                <m:chr m:val="∑"/>
                <m:limLoc m:val="undOvr"/>
                <m:subHide m:val="0"/>
                <m:supHide m:val="0"/>
              </m:naryPr>
              <m:sub>
                <m:r>
                  <m:t>k</m:t>
                </m:r>
                <m:r>
                  <m:t>=</m:t>
                </m:r>
                <m:r>
                  <m:t>1</m:t>
                </m:r>
              </m:sub>
              <m:sup>
                <m:r>
                  <m:t>n</m:t>
                </m:r>
                <m:r>
                  <m:t>/</m:t>
                </m:r>
                <m:r>
                  <m:t>2</m:t>
                </m:r>
              </m:sup>
              <m:e>
                <m:r>
                  <m:t>I</m:t>
                </m:r>
              </m:e>
            </m:nary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ω</m:t>
                    </m:r>
                  </m:e>
                  <m:sub>
                    <m:r>
                      <m:t>k</m:t>
                    </m:r>
                  </m:sub>
                </m:sSub>
              </m:e>
            </m:d>
            <m:r>
              <m:t>−</m:t>
            </m:r>
            <m:sSup>
              <m:e>
                <m:r>
                  <m:t>I</m:t>
                </m:r>
              </m:e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p>
            <m:d>
              <m:dPr>
                <m:begChr m:val="("/>
                <m:endChr m:val=")"/>
                <m:grow/>
              </m:dPr>
              <m:e>
                <m:sSub>
                  <m:e>
                    <m:r>
                      <m:t>ω</m:t>
                    </m:r>
                  </m:e>
                  <m:sub>
                    <m:r>
                      <m:t>(</m:t>
                    </m:r>
                    <m:r>
                      <m:t>1</m:t>
                    </m:r>
                    <m:r>
                      <m:t>)</m:t>
                    </m:r>
                  </m:sub>
                </m:sSub>
              </m:e>
            </m:d>
          </m:den>
        </m:f>
      </m:oMath>
      <w:r>
        <w:t xml:space="preserve"> </w:t>
      </w:r>
      <w:r>
        <w:t xml:space="preserve">(4)</w:t>
      </w:r>
    </w:p>
    <w:p>
      <w:pPr>
        <w:pStyle w:val="FigureWithCaption"/>
      </w:pPr>
      <w:r>
        <w:drawing>
          <wp:inline>
            <wp:extent cx="4177492" cy="2786014"/>
            <wp:effectExtent b="0" l="0" r="0" t="0"/>
            <wp:docPr descr="Spectrum of residential property prices, credit to private non-financial sector, credit share in the GDP in the UK Q1 2005 - Q1 2019 " title="" id="1" name="Picture"/>
            <a:graphic>
              <a:graphicData uri="http://schemas.openxmlformats.org/drawingml/2006/picture">
                <pic:pic>
                  <pic:nvPicPr>
                    <pic:cNvPr descr="figures/figure1/figur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786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Spectrum of residential property prices, credit to private non-financial</w:t>
      </w:r>
      <w:r>
        <w:t xml:space="preserve"> </w:t>
      </w:r>
      <w:r>
        <w:t xml:space="preserve">sector, credit share in the GDP in the UK Q1 2005 - Q1 2019</w:t>
      </w:r>
      <w:r>
        <w:t xml:space="preserve"> </w:t>
      </w:r>
    </w:p>
    <w:p>
      <w:pPr>
        <w:pStyle w:val="BodyText"/>
      </w:pPr>
      <w:r>
        <w:t xml:space="preserve">Source: Authors’ calculation</w:t>
      </w:r>
    </w:p>
    <w:p>
      <w:pPr>
        <w:pStyle w:val="BodyText"/>
      </w:pPr>
      <w:r>
        <w:t xml:space="preserve">Figure 1 shows spectrum for the three financial series - HPI</w:t>
      </w:r>
      <w:r>
        <w:t xml:space="preserve"> </w:t>
      </w:r>
      <w:r>
        <w:t xml:space="preserve">= Residential property prices selected, CRS = Credit to Private</w:t>
      </w:r>
      <w:r>
        <w:t xml:space="preserve"> </w:t>
      </w:r>
      <w:r>
        <w:t xml:space="preserve">non-financial sector from all sectors at Market value - Percentage of</w:t>
      </w:r>
      <w:r>
        <w:t xml:space="preserve"> </w:t>
      </w:r>
      <w:r>
        <w:t xml:space="preserve">GDP, CRT = Credit to Private non-financial sector from all sectors at</w:t>
      </w:r>
      <w:r>
        <w:t xml:space="preserve"> </w:t>
      </w:r>
      <w:r>
        <w:t xml:space="preserve">Market value - US dollar in the UK. The shaded area shows deterministic</w:t>
      </w:r>
      <w:r>
        <w:t xml:space="preserve"> </w:t>
      </w:r>
      <w:r>
        <w:t xml:space="preserve">cycles between 0.016 and 0.032 frequencies (cycle/time unit)</w:t>
      </w:r>
      <w:r>
        <w:t xml:space="preserve"> </w:t>
      </w:r>
      <w:r>
        <w:t xml:space="preserve">corresponding to 61 and 31 quarters or 15 and 8 years period.</w:t>
      </w:r>
    </w:p>
    <w:p>
      <w:pPr>
        <w:pStyle w:val="FigureWithCaption"/>
      </w:pPr>
      <w:r>
        <w:drawing>
          <wp:inline>
            <wp:extent cx="4177492" cy="2672861"/>
            <wp:effectExtent b="0" l="0" r="0" t="0"/>
            <wp:docPr descr="Spectrum of residential property prices, credit to private non-financial sector, credit share in the GDP in the USA Q1 2005 - Q1 2019  " title="" id="1" name="Picture"/>
            <a:graphic>
              <a:graphicData uri="http://schemas.openxmlformats.org/drawingml/2006/picture">
                <pic:pic>
                  <pic:nvPicPr>
                    <pic:cNvPr descr="figures/figure2/figur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Spectrum of residential property prices, credit to private non-financial</w:t>
      </w:r>
      <w:r>
        <w:t xml:space="preserve"> </w:t>
      </w:r>
      <w:r>
        <w:t xml:space="preserve">sector, credit share in the GDP in the USA Q1 2005 - Q1 2019 </w:t>
      </w:r>
      <w:r>
        <w:t xml:space="preserve"> </w:t>
      </w:r>
    </w:p>
    <w:p>
      <w:pPr>
        <w:pStyle w:val="BodyText"/>
      </w:pPr>
      <w:r>
        <w:t xml:space="preserve">Source: Authors’ calculation</w:t>
      </w:r>
    </w:p>
    <w:p>
      <w:pPr>
        <w:pStyle w:val="BodyText"/>
      </w:pPr>
      <w:r>
        <w:t xml:space="preserve">Figure 2 confirms the results we find for the UK. In the United States,</w:t>
      </w:r>
      <w:r>
        <w:t xml:space="preserve"> </w:t>
      </w:r>
      <w:r>
        <w:t xml:space="preserve">all three financial series show the same behaviour as in the UK. As we</w:t>
      </w:r>
      <w:r>
        <w:t xml:space="preserve"> </w:t>
      </w:r>
      <w:r>
        <w:t xml:space="preserve">can see from the figure 2, the grey area shows the statistically</w:t>
      </w:r>
      <w:r>
        <w:t xml:space="preserve"> </w:t>
      </w:r>
      <w:r>
        <w:t xml:space="preserve">significant component cycles which correspond to 8 and 15 years for the</w:t>
      </w:r>
      <w:r>
        <w:t xml:space="preserve"> </w:t>
      </w:r>
      <w:r>
        <w:t xml:space="preserve">residential property prices, credit to private non-financial sectors and</w:t>
      </w:r>
      <w:r>
        <w:t xml:space="preserve"> </w:t>
      </w:r>
      <w:r>
        <w:t xml:space="preserve">credit share in the GDP.  Outside the area between 0.016 and 0.032</w:t>
      </w:r>
      <w:r>
        <w:t xml:space="preserve"> </w:t>
      </w:r>
      <w:r>
        <w:t xml:space="preserve">frequencies (cycle/time unit) corresponding to 61 and 31 quarters or 15</w:t>
      </w:r>
      <w:r>
        <w:t xml:space="preserve"> </w:t>
      </w:r>
      <w:r>
        <w:t xml:space="preserve">and 8 years period, we did not isolate important deterministic cycles. </w:t>
      </w:r>
    </w:p>
    <w:p>
      <w:pPr>
        <w:pStyle w:val="FigureWithCaption"/>
      </w:pPr>
      <w:r>
        <w:drawing>
          <wp:inline>
            <wp:extent cx="4177492" cy="2672861"/>
            <wp:effectExtent b="0" l="0" r="0" t="0"/>
            <wp:docPr descr="This is a Spectrum of residential property prices, credit to private non-financial sector, credit share in the GDP in Japan Q1 2005 - Q1 2019 caption " title="" id="1" name="Picture"/>
            <a:graphic>
              <a:graphicData uri="http://schemas.openxmlformats.org/drawingml/2006/picture">
                <pic:pic>
                  <pic:nvPicPr>
                    <pic:cNvPr descr="figures/figure3/figur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Spectrum of residential property prices, credit to private</w:t>
      </w:r>
      <w:r>
        <w:t xml:space="preserve"> </w:t>
      </w:r>
      <w:r>
        <w:t xml:space="preserve">non-financial sector, credit share in the GDP in Japan Q1 2005 - Q1</w:t>
      </w:r>
      <w:r>
        <w:t xml:space="preserve"> </w:t>
      </w:r>
      <w:r>
        <w:t xml:space="preserve">2019 caption</w:t>
      </w:r>
      <w:r>
        <w:t xml:space="preserve"> </w:t>
      </w:r>
    </w:p>
    <w:p>
      <w:pPr>
        <w:pStyle w:val="BodyText"/>
      </w:pPr>
      <w:r>
        <w:t xml:space="preserve">Figure 3 shows more variability in the housing and financial markets in</w:t>
      </w:r>
      <w:r>
        <w:t xml:space="preserve"> </w:t>
      </w:r>
      <w:r>
        <w:t xml:space="preserve">Japan. Although we can observe several possible deterministic cycles in</w:t>
      </w:r>
      <w:r>
        <w:t xml:space="preserve"> </w:t>
      </w:r>
      <w:r>
        <w:t xml:space="preserve">the housing and financial markets in Japan statistical tests shows</w:t>
      </w:r>
      <w:r>
        <w:t xml:space="preserve"> </w:t>
      </w:r>
      <w:r>
        <w:t xml:space="preserve">statistically significant cycles in the financial series are present</w:t>
      </w:r>
      <w:r>
        <w:t xml:space="preserve"> </w:t>
      </w:r>
      <w:r>
        <w:t xml:space="preserve">within 8 and 15 years. Thus, results for Japan are in line with the one</w:t>
      </w:r>
      <w:r>
        <w:t xml:space="preserve"> </w:t>
      </w:r>
      <w:r>
        <w:t xml:space="preserve">we observe for the UK and the US. F test, Fisher test and Whittle test</w:t>
      </w:r>
      <w:r>
        <w:t xml:space="preserve"> </w:t>
      </w:r>
      <w:r>
        <w:t xml:space="preserve">confirm the statistical significance of the deterministic cycles between</w:t>
      </w:r>
      <w:r>
        <w:t xml:space="preserve"> </w:t>
      </w:r>
      <w:r>
        <w:t xml:space="preserve">8 to 15 years. </w:t>
      </w:r>
    </w:p>
    <w:p>
      <w:pPr>
        <w:pStyle w:val="FigureWithCaption"/>
      </w:pPr>
      <w:r>
        <w:drawing>
          <wp:inline>
            <wp:extent cx="4177492" cy="2672861"/>
            <wp:effectExtent b="0" l="0" r="0" t="0"/>
            <wp:docPr descr="This is a Spectrum of residential property prices, credit to private non-financial sector, credit share in the GDP in China Q1 2005 - Q1 2019  " title="" id="1" name="Picture"/>
            <a:graphic>
              <a:graphicData uri="http://schemas.openxmlformats.org/drawingml/2006/picture">
                <pic:pic>
                  <pic:nvPicPr>
                    <pic:cNvPr descr="figures/figure4/figur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6728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Spectrum of residential property prices, credit to private</w:t>
      </w:r>
      <w:r>
        <w:t xml:space="preserve"> </w:t>
      </w:r>
      <w:r>
        <w:t xml:space="preserve">non-financial sector, credit share in the GDP in China Q1 2005 - Q1</w:t>
      </w:r>
      <w:r>
        <w:t xml:space="preserve"> </w:t>
      </w:r>
      <w:r>
        <w:t xml:space="preserve">2019 </w:t>
      </w:r>
      <w:r>
        <w:t xml:space="preserve"> </w:t>
      </w:r>
    </w:p>
    <w:p>
      <w:pPr>
        <w:pStyle w:val="BodyText"/>
      </w:pPr>
      <w:r>
        <w:t xml:space="preserve">Volatility on the housing and financial markets in China is more similar</w:t>
      </w:r>
      <w:r>
        <w:t xml:space="preserve"> </w:t>
      </w:r>
      <w:r>
        <w:t xml:space="preserve">to the dynamics we find in Japan. Large volatility, as expected to be</w:t>
      </w:r>
      <w:r>
        <w:t xml:space="preserve"> </w:t>
      </w:r>
      <w:r>
        <w:t xml:space="preserve">present, is visible on the housing market in China. Such price dynamics</w:t>
      </w:r>
      <w:r>
        <w:t xml:space="preserve"> </w:t>
      </w:r>
      <w:r>
        <w:t xml:space="preserve">on the housing market is expected as a consequence of the changes in the</w:t>
      </w:r>
      <w:r>
        <w:t xml:space="preserve"> </w:t>
      </w:r>
      <w:r>
        <w:t xml:space="preserve">Hukou system (policy regulated migration from the countryside to the</w:t>
      </w:r>
      <w:r>
        <w:t xml:space="preserve"> </w:t>
      </w:r>
      <w:r>
        <w:t xml:space="preserve">cities) having a direct influence on the demand for housing in China.</w:t>
      </w:r>
      <w:r>
        <w:t xml:space="preserve"> </w:t>
      </w:r>
      <w:r>
        <w:t xml:space="preserve">Housing demand dynamics is reflected in the credit demand (mortgage</w:t>
      </w:r>
      <w:r>
        <w:t xml:space="preserve"> </w:t>
      </w:r>
      <w:r>
        <w:t xml:space="preserve">loans) that is observed in figure 4 (graph on the right). Cyclical</w:t>
      </w:r>
      <w:r>
        <w:t xml:space="preserve"> </w:t>
      </w:r>
      <w:r>
        <w:t xml:space="preserve">fluctuations both for housing prices and credit to the private</w:t>
      </w:r>
      <w:r>
        <w:t xml:space="preserve"> </w:t>
      </w:r>
      <w:r>
        <w:t xml:space="preserve">non-financial sector is statistically significant for the cycle period</w:t>
      </w:r>
      <w:r>
        <w:t xml:space="preserve"> </w:t>
      </w:r>
      <w:r>
        <w:t xml:space="preserve">between 8 to 15 years. The cyclical fluctuation on the credit market (%</w:t>
      </w:r>
      <w:r>
        <w:t xml:space="preserve"> </w:t>
      </w:r>
      <w:r>
        <w:t xml:space="preserve">share in the GDP) after testing for deterministic cycles also exhibits</w:t>
      </w:r>
      <w:r>
        <w:t xml:space="preserve"> </w:t>
      </w:r>
      <w:r>
        <w:t xml:space="preserve">an 8 to 15 years pattern with smaller volatility in comparison to the</w:t>
      </w:r>
      <w:r>
        <w:t xml:space="preserve"> </w:t>
      </w:r>
      <w:r>
        <w:t xml:space="preserve">volatility on the housing market and credit to a private non-financial</w:t>
      </w:r>
      <w:r>
        <w:t xml:space="preserve"> </w:t>
      </w:r>
      <w:r>
        <w:t xml:space="preserve">sector (volume). </w:t>
      </w:r>
    </w:p>
    <w:p>
      <w:pPr>
        <w:pStyle w:val="BodyText"/>
      </w:pPr>
      <w:r>
        <w:t xml:space="preserve">Deterministic cycle test results validate the results of the previous</w:t>
      </w:r>
      <w:r>
        <w:t xml:space="preserve"> </w:t>
      </w:r>
      <w:r>
        <w:t xml:space="preserve">studies on financial cycles finding a cyclical pattern in the financial</w:t>
      </w:r>
      <w:r>
        <w:t xml:space="preserve"> </w:t>
      </w:r>
      <w:r>
        <w:t xml:space="preserve">time series ranging from 8 to 15 years on average for the UK, USA, Japan</w:t>
      </w:r>
      <w:r>
        <w:t xml:space="preserve"> </w:t>
      </w:r>
      <w:r>
        <w:t xml:space="preserve">and China. After the financial cycles identification by the means of</w:t>
      </w:r>
      <w:r>
        <w:t xml:space="preserve"> </w:t>
      </w:r>
      <w:r>
        <w:t xml:space="preserve">spectral analysis, we proceed by testing if Big data can help to improve</w:t>
      </w:r>
      <w:r>
        <w:t xml:space="preserve"> </w:t>
      </w:r>
      <w:r>
        <w:t xml:space="preserve">the financial cycles forecasting.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using-financial-big-data-for-improving-financial-cycles-forecasting-accuracy"/>
      <w:bookmarkEnd w:id="29"/>
      <w:r>
        <w:t xml:space="preserve">Using Financial Big Data for Improving Financial Cycles</w:t>
      </w:r>
      <w:r>
        <w:t xml:space="preserve"> </w:t>
      </w:r>
      <w:r>
        <w:t xml:space="preserve">Forecasting</w:t>
      </w:r>
      <w:r>
        <w:t xml:space="preserve"> </w:t>
      </w:r>
      <w:r>
        <w:t xml:space="preserve">Accuracy</w:t>
      </w:r>
    </w:p>
    <w:p>
      <w:pPr>
        <w:pStyle w:val="FirstParagraph"/>
      </w:pPr>
      <w:r>
        <w:t xml:space="preserve">To test the hypothesis that financial big data improve financial cycles</w:t>
      </w:r>
      <w:r>
        <w:t xml:space="preserve"> </w:t>
      </w:r>
      <w:r>
        <w:t xml:space="preserve">forecasting we proceed in several steps. First by the means of the</w:t>
      </w:r>
      <w:r>
        <w:t xml:space="preserve"> </w:t>
      </w:r>
      <w:r>
        <w:t xml:space="preserve">singular spectrum analysis (SSA) of the form (Vautard et al. 1992: 95–126)</w:t>
      </w:r>
    </w:p>
    <w:p>
      <w:pPr>
        <w:pStyle w:val="BodyText"/>
      </w:pPr>
      <m:oMath>
        <m:sSub>
          <m:e>
            <m:r>
              <m:t>c</m:t>
            </m:r>
          </m:e>
          <m:sub>
            <m:r>
              <m:t>i</m:t>
            </m:r>
            <m:r>
              <m:t>j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N</m:t>
            </m:r>
            <m:r>
              <m:t>−</m:t>
            </m:r>
            <m:r>
              <m:t>|</m:t>
            </m:r>
            <m:r>
              <m:t>i</m:t>
            </m:r>
            <m:r>
              <m:t>−</m:t>
            </m:r>
            <m:r>
              <m:t>j</m:t>
            </m:r>
            <m:r>
              <m:t>|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t</m:t>
            </m:r>
            <m:r>
              <m:t>=</m:t>
            </m:r>
            <m:r>
              <m:t>1</m:t>
            </m:r>
          </m:sub>
          <m:sup>
            <m:r>
              <m:t>N</m:t>
            </m:r>
            <m:r>
              <m:t>−</m:t>
            </m:r>
            <m:r>
              <m:t>|</m:t>
            </m:r>
            <m:r>
              <m:t>i</m:t>
            </m:r>
            <m:r>
              <m:t>−</m:t>
            </m:r>
            <m:r>
              <m:t>j</m:t>
            </m:r>
            <m:r>
              <m:t>|</m:t>
            </m:r>
          </m:sup>
          <m:e>
            <m:r>
              <m:t>X</m:t>
            </m:r>
          </m:e>
        </m:nary>
        <m:r>
          <m:t>(</m:t>
        </m:r>
        <m:r>
          <m:t>t</m:t>
        </m:r>
        <m:r>
          <m:t>)</m:t>
        </m:r>
        <m:r>
          <m:t>X</m:t>
        </m:r>
        <m:r>
          <m:t>(</m:t>
        </m:r>
        <m:r>
          <m:t>t</m:t>
        </m:r>
        <m:r>
          <m:t>+</m:t>
        </m:r>
        <m:r>
          <m:t>|</m:t>
        </m:r>
        <m:r>
          <m:t>i</m:t>
        </m:r>
        <m:r>
          <m:t>−</m:t>
        </m:r>
        <m:r>
          <m:t>j</m:t>
        </m:r>
        <m:r>
          <m:t>|</m:t>
        </m:r>
        <m:r>
          <m:t>)</m:t>
        </m:r>
      </m:oMath>
      <w:r>
        <w:t xml:space="preserve">(5)</w:t>
      </w:r>
    </w:p>
    <w:p>
      <w:pPr>
        <w:pStyle w:val="BodyText"/>
      </w:pPr>
      <w:r>
        <w:t xml:space="preserve">where</w:t>
      </w:r>
    </w:p>
    <w:p>
      <w:pPr>
        <w:pStyle w:val="BodyText"/>
      </w:pPr>
      <w:r>
        <w:t xml:space="preserve">c</w:t>
      </w:r>
      <w:r>
        <w:rPr>
          <w:vertAlign w:val="subscript"/>
        </w:rPr>
        <w:t xml:space="preserve">ij</w:t>
      </w:r>
      <w:r>
        <w:t xml:space="preserve"> </w:t>
      </w:r>
      <w:r>
        <w:t xml:space="preserve">= lag covariance matrix</w:t>
      </w:r>
    </w:p>
    <w:p>
      <w:pPr>
        <w:pStyle w:val="BodyText"/>
      </w:pPr>
      <w:r>
        <w:t xml:space="preserve">N = number of data points in time series</w:t>
      </w:r>
    </w:p>
    <w:p>
      <w:pPr>
        <w:pStyle w:val="BodyText"/>
      </w:pPr>
      <w:r>
        <w:t xml:space="preserve">i,j = time indices</w:t>
      </w:r>
    </w:p>
    <w:p>
      <w:pPr>
        <w:pStyle w:val="BodyText"/>
      </w:pPr>
      <w:r>
        <w:t xml:space="preserve">t = continuous time t ∈ R</w:t>
      </w:r>
    </w:p>
    <w:p>
      <w:pPr>
        <w:pStyle w:val="BodyText"/>
      </w:pPr>
      <w:r>
        <w:t xml:space="preserve">x(t) = observed time series.</w:t>
      </w:r>
    </w:p>
    <w:p>
      <w:pPr>
        <w:pStyle w:val="BodyText"/>
      </w:pPr>
      <w:r>
        <w:t xml:space="preserve">using data on housing prices and credits we isolate financial cycles for</w:t>
      </w:r>
      <w:r>
        <w:t xml:space="preserve"> </w:t>
      </w:r>
      <w:r>
        <w:t xml:space="preserve">the UK, USA, Japan and China. Following on the isolate (SSA) components,</w:t>
      </w:r>
      <w:r>
        <w:t xml:space="preserve"> </w:t>
      </w:r>
      <w:r>
        <w:t xml:space="preserve">we apply a linear recurrent formula for the purpose of (SSA)</w:t>
      </w:r>
      <w:r>
        <w:t xml:space="preserve"> </w:t>
      </w:r>
      <w:r>
        <w:t xml:space="preserve">forecasting. As a final outcome, we get an R-forecasting (SSA</w:t>
      </w:r>
      <w:r>
        <w:t xml:space="preserve"> </w:t>
      </w:r>
      <w:r>
        <w:t xml:space="preserve">forecasting method) for residential property prices, credit to the</w:t>
      </w:r>
      <w:r>
        <w:t xml:space="preserve"> </w:t>
      </w:r>
      <w:r>
        <w:t xml:space="preserve">private non-financial sector, credit share in the GDP over the eight</w:t>
      </w:r>
      <w:r>
        <w:t xml:space="preserve"> </w:t>
      </w:r>
      <w:r>
        <w:t xml:space="preserve">quarters (2017Q2 2019Q1).</w:t>
      </w:r>
    </w:p>
    <w:p>
      <w:pPr>
        <w:pStyle w:val="BodyText"/>
      </w:pPr>
      <w:r>
        <w:t xml:space="preserve">To check if financial big data can help in raising the financial cycles</w:t>
      </w:r>
      <w:r>
        <w:t xml:space="preserve"> </w:t>
      </w:r>
      <w:r>
        <w:t xml:space="preserve">forecasting efficiency, we apply</w:t>
      </w:r>
    </w:p>
    <w:p>
      <w:pPr>
        <w:pStyle w:val="BodyText"/>
      </w:pPr>
      <w:r>
        <w:t xml:space="preserve">(MSSA) of the form (Ghil et al. 2002) on residential property prices,</w:t>
      </w:r>
      <w:r>
        <w:t xml:space="preserve"> </w:t>
      </w:r>
      <w:r>
        <w:t xml:space="preserve">credit to private non-financial sector, credit share in the GDP:</w:t>
      </w:r>
    </w:p>
    <w:p>
      <w:pPr>
        <w:pStyle w:val="BodyText"/>
      </w:pPr>
      <w:r>
        <w:br w:type="textWrapping"/>
      </w:r>
      <m:oMath>
        <m:m>
          <m:mPr>
            <m:baseJc m:val="center"/>
            <m:plcHide m:val="1"/>
            <m:mcs>
              <m:mc>
                <m:mcPr>
                  <m:mcJc m:val="left"/>
                  <m:count m:val="1"/>
                </m:mcPr>
              </m:mc>
            </m:mcs>
          </m:mPr>
          <m:mr>
            <m:e>
              <m:sSub>
                <m:e>
                  <m:d>
                    <m:dPr>
                      <m:begChr m:val="("/>
                      <m:endChr m:val=")"/>
                      <m:grow/>
                    </m:dPr>
                    <m:e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l</m:t>
                          </m:r>
                          <m:r>
                            <m:t>,</m:t>
                          </m:r>
                          <m:sSup>
                            <m:e>
                              <m:r>
                                <m:t>l</m:t>
                              </m:r>
                            </m:e>
                            <m:sup>
                              <m:r>
                                <m:t>′</m:t>
                              </m:r>
                            </m:sup>
                          </m:sSup>
                        </m:sub>
                      </m:sSub>
                    </m:e>
                  </m:d>
                </m:e>
                <m:sub>
                  <m:r>
                    <m:t>i</m:t>
                  </m:r>
                  <m:r>
                    <m:t>,</m:t>
                  </m:r>
                  <m:r>
                    <m:t>j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bar>
                    <m:barPr>
                      <m:pos m:val="top"/>
                    </m:barPr>
                    <m:e>
                      <m:r>
                        <m:t>N</m:t>
                      </m:r>
                    </m:e>
                  </m:bar>
                </m:den>
              </m:f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t</m:t>
                  </m:r>
                  <m:r>
                    <m:t>=</m:t>
                  </m:r>
                  <m:r>
                    <m:rPr>
                      <m:sty m:val="p"/>
                    </m:rPr>
                    <m:t>min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1</m:t>
                      </m:r>
                      <m:r>
                        <m:t>,</m:t>
                      </m:r>
                      <m:r>
                        <m:t>1</m:t>
                      </m:r>
                      <m:r>
                        <m:t>,</m:t>
                      </m:r>
                      <m:sSup>
                        <m:e>
                          <m:r>
                            <m:t>1</m:t>
                          </m:r>
                        </m:e>
                        <m:sup>
                          <m:r>
                            <m:t>′</m:t>
                          </m:r>
                        </m:sup>
                      </m:sSup>
                      <m:r>
                        <m:t>+</m:t>
                      </m:r>
                      <m:r>
                        <m:t>i</m:t>
                      </m:r>
                      <m:r>
                        <m:t>−</m:t>
                      </m:r>
                      <m:r>
                        <m:t>j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m:t>max</m:t>
                  </m:r>
                  <m:r>
                    <m:t>(</m:t>
                  </m:r>
                  <m:r>
                    <m:t>N</m:t>
                  </m:r>
                  <m:r>
                    <m:t>+</m:t>
                  </m:r>
                  <m:r>
                    <m:t>i</m:t>
                  </m:r>
                  <m:r>
                    <m:t>−</m:t>
                  </m:r>
                  <m:r>
                    <m:t>j</m:t>
                  </m:r>
                  <m:r>
                    <m:t>)</m:t>
                  </m:r>
                </m:sup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l</m:t>
                      </m:r>
                    </m:sub>
                  </m:sSub>
                </m:e>
              </m:nary>
              <m:r>
                <m:t>(</m:t>
              </m:r>
              <m:r>
                <m:t>t</m:t>
              </m:r>
              <m:r>
                <m:t>)</m:t>
              </m:r>
              <m:sSub>
                <m:e>
                  <m:r>
                    <m:t>x</m:t>
                  </m:r>
                </m:e>
                <m:sub>
                  <m:sSup>
                    <m:e>
                      <m:r>
                        <m:t>l</m:t>
                      </m:r>
                    </m:e>
                    <m:sup>
                      <m:r>
                        <m:t>′</m:t>
                      </m:r>
                    </m:sup>
                  </m:sSup>
                </m:sub>
              </m:sSub>
              <m:r>
                <m:t>(</m:t>
              </m:r>
              <m:r>
                <m:t>t</m:t>
              </m:r>
              <m:r>
                <m:t>+</m:t>
              </m:r>
              <m:r>
                <m:t>i</m:t>
              </m:r>
              <m:r>
                <m:t>−</m:t>
              </m:r>
              <m:r>
                <m:t>j</m:t>
              </m:r>
              <m:r>
                <m:t>)</m:t>
              </m:r>
            </m:e>
          </m:mr>
          <m:mr>
            <m:e>
              <m:groupChr>
                <m:groupChrPr>
                  <m:chr m:val="˜"/>
                  <m:pos m:val="top"/>
                  <m:vertJc m:val="bot"/>
                </m:groupChrPr>
                <m:e>
                  <m:r>
                    <m:t>N</m:t>
                  </m:r>
                </m:e>
              </m:groupChr>
              <m:r>
                <m:t>=</m:t>
              </m:r>
              <m:r>
                <m:rPr>
                  <m:sty m:val="p"/>
                </m:rPr>
                <m:t>min</m:t>
              </m:r>
              <m:r>
                <m:t>{</m:t>
              </m:r>
              <m:r>
                <m:t>N</m:t>
              </m:r>
              <m:r>
                <m:t>,</m:t>
              </m:r>
              <m:r>
                <m:t>N</m:t>
              </m:r>
              <m:r>
                <m:t>+</m:t>
              </m:r>
              <m:r>
                <m:t>i</m:t>
              </m:r>
              <m:r>
                <m:t>−</m:t>
              </m:r>
              <m:r>
                <m:t>j</m:t>
              </m:r>
              <m:r>
                <m:t>}</m:t>
              </m:r>
              <m:r>
                <m:t>−</m:t>
              </m:r>
              <m:r>
                <m:rPr>
                  <m:sty m:val="p"/>
                </m:rPr>
                <m:t>max</m:t>
              </m:r>
              <m:r>
                <m:t>{</m:t>
              </m:r>
              <m:r>
                <m:t>1</m:t>
              </m:r>
              <m:r>
                <m:t>,</m:t>
              </m:r>
              <m:r>
                <m:t>1</m:t>
              </m:r>
              <m:r>
                <m:t>+</m:t>
              </m:r>
              <m:r>
                <m:t>i</m:t>
              </m:r>
              <m:r>
                <m:t>−</m:t>
              </m:r>
              <m:r>
                <m:t>j</m:t>
              </m:r>
              <m:r>
                <m:t>}</m:t>
              </m:r>
              <m:r>
                <m:t>+</m:t>
              </m:r>
              <m:r>
                <m:t>1</m:t>
              </m:r>
            </m:e>
          </m:mr>
        </m:m>
      </m:oMath>
      <w:r>
        <w:t xml:space="preserve">(6)</w:t>
      </w:r>
    </w:p>
    <w:p>
      <w:pPr>
        <w:pStyle w:val="BodyText"/>
      </w:pPr>
      <w:r>
        <w:t xml:space="preserve">where</w:t>
      </w:r>
    </w:p>
    <w:p>
      <w:pPr>
        <w:pStyle w:val="BodyText"/>
      </w:pPr>
      <w:r>
        <w:t xml:space="preserve">c</w:t>
      </w:r>
      <w:r>
        <w:rPr>
          <w:vertAlign w:val="subscript"/>
        </w:rPr>
        <w:t xml:space="preserve">ij</w:t>
      </w:r>
      <w:r>
        <w:t xml:space="preserve"> </w:t>
      </w:r>
      <w:r>
        <w:t xml:space="preserve">= lag covariance matrix</w:t>
      </w:r>
    </w:p>
    <w:p>
      <w:pPr>
        <w:pStyle w:val="BodyText"/>
      </w:pPr>
      <w:r>
        <w:t xml:space="preserve">cl,l</w:t>
      </w:r>
      <w:r>
        <w:rPr>
          <w:vertAlign w:val="subscript"/>
        </w:rPr>
        <w:t xml:space="preserve">j</w:t>
      </w:r>
      <w:r>
        <w:t xml:space="preserve"> </w:t>
      </w:r>
      <w:r>
        <w:t xml:space="preserve">=lag cross-covariance matrix</w:t>
      </w:r>
    </w:p>
    <w:p>
      <w:pPr>
        <w:pStyle w:val="BodyText"/>
      </w:pPr>
      <w:r>
        <w:t xml:space="preserve">N = number of data points in a time series</w:t>
      </w:r>
    </w:p>
    <w:p>
      <w:pPr>
        <w:pStyle w:val="BodyText"/>
      </w:pPr>
      <w:r>
        <w:t xml:space="preserve">i,j = indices of time</w:t>
      </w:r>
    </w:p>
    <w:p>
      <w:pPr>
        <w:pStyle w:val="BodyText"/>
      </w:pPr>
      <w:r>
        <w:t xml:space="preserve">t = continuous time t ∈ R</w:t>
      </w:r>
    </w:p>
    <w:p>
      <w:pPr>
        <w:pStyle w:val="BodyText"/>
      </w:pPr>
      <w:r>
        <w:t xml:space="preserve">x(t) = L-channel vector time series.</w:t>
      </w:r>
    </w:p>
    <w:p>
      <w:pPr>
        <w:pStyle w:val="BodyText"/>
      </w:pPr>
      <w:r>
        <w:t xml:space="preserve">As in the case of (SSA), using the R-forecasting (MSSA forecasting</w:t>
      </w:r>
      <w:r>
        <w:t xml:space="preserve"> </w:t>
      </w:r>
      <w:r>
        <w:t xml:space="preserve">method) we now get the (MSSA) forecasting results (forecasting including</w:t>
      </w:r>
      <w:r>
        <w:t xml:space="preserve"> </w:t>
      </w:r>
      <w:r>
        <w:t xml:space="preserve">financial big data) for the residential property prices, credit to</w:t>
      </w:r>
      <w:r>
        <w:t xml:space="preserve"> </w:t>
      </w:r>
      <w:r>
        <w:t xml:space="preserve">private non-financial sector, credit share in the GDP over the period</w:t>
      </w:r>
      <w:r>
        <w:t xml:space="preserve"> </w:t>
      </w:r>
      <w:r>
        <w:t xml:space="preserve">2017Q2 - 2019Q1. </w:t>
      </w:r>
    </w:p>
    <w:p>
      <w:pPr>
        <w:pStyle w:val="BodyText"/>
      </w:pPr>
      <w:r>
        <w:t xml:space="preserve">To test the improved accuracy (better forecasting results) we obtain</w:t>
      </w:r>
      <w:r>
        <w:t xml:space="preserve"> </w:t>
      </w:r>
      <w:r>
        <w:t xml:space="preserve">when using financial big data we use the Diebold - Mariano</w:t>
      </w:r>
      <w:r>
        <w:t xml:space="preserve"> </w:t>
      </w:r>
      <w:r>
        <w:t xml:space="preserve">test (Diebold et al. 1995; Diebold 2015) of the form:</w:t>
      </w:r>
    </w:p>
    <w:p>
      <w:pPr>
        <w:pStyle w:val="BodyText"/>
      </w:pPr>
      <m:oMath>
        <m:r>
          <m:t>D</m:t>
        </m:r>
        <m:sSub>
          <m:e>
            <m:r>
              <m:t>M</m:t>
            </m:r>
          </m:e>
          <m:sub>
            <m:r>
              <m:t>12</m:t>
            </m:r>
          </m:sub>
        </m:sSub>
        <m:r>
          <m:t>=</m:t>
        </m:r>
        <m:f>
          <m:fPr>
            <m:type m:val="bar"/>
          </m:fPr>
          <m:num>
            <m:sSub>
              <m:e>
                <m:bar>
                  <m:barPr>
                    <m:pos m:val="top"/>
                  </m:barPr>
                  <m:e>
                    <m:r>
                      <m:t>d</m:t>
                    </m:r>
                  </m:e>
                </m:bar>
              </m:e>
              <m:sub>
                <m:r>
                  <m:t>12</m:t>
                </m:r>
              </m:sub>
            </m:sSub>
          </m:num>
          <m:den>
            <m:sSub>
              <m:e>
                <m:groupChr>
                  <m:groupChrPr>
                    <m:chr m:val="^"/>
                    <m:pos m:val="top"/>
                    <m:vertJc m:val="bot"/>
                  </m:groupChrPr>
                  <m:e>
                    <m:r>
                      <m:t>σ</m:t>
                    </m:r>
                  </m:e>
                </m:groupChr>
              </m:e>
              <m:sub>
                <m:sSub>
                  <m:e>
                    <m:bar>
                      <m:barPr>
                        <m:pos m:val="top"/>
                      </m:barPr>
                      <m:e>
                        <m:r>
                          <m:t>d</m:t>
                        </m:r>
                      </m:e>
                    </m:bar>
                  </m:e>
                  <m:sub>
                    <m:r>
                      <m:t>12</m:t>
                    </m:r>
                  </m:sub>
                </m:sSub>
              </m:sub>
            </m:sSub>
          </m:den>
        </m:f>
        <m:r>
          <m:t>→</m:t>
        </m:r>
        <m:r>
          <m:t>N</m:t>
        </m:r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(7)</w:t>
      </w:r>
    </w:p>
    <w:p>
      <w:pPr>
        <w:pStyle w:val="BodyText"/>
      </w:pPr>
      <w:r>
        <w:t xml:space="preserve">where  </w:t>
      </w:r>
    </w:p>
    <w:p>
      <w:pPr>
        <w:pStyle w:val="BodyText"/>
      </w:pPr>
      <m:oMath>
        <m:sSub>
          <m:e>
            <m:bar>
              <m:barPr>
                <m:pos m:val="top"/>
              </m:barPr>
              <m:e>
                <m:r>
                  <m:t>d</m:t>
                </m:r>
              </m:e>
            </m:bar>
          </m:e>
          <m:sub>
            <m:r>
              <m:t>12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T</m:t>
            </m:r>
          </m:den>
        </m:f>
        <m:nary>
          <m:naryPr>
            <m:chr m:val="∑"/>
            <m:limLoc m:val="undOvr"/>
            <m:subHide m:val="0"/>
            <m:supHide m:val="0"/>
          </m:naryPr>
          <m:sub>
            <m:r>
              <m:t>t</m:t>
            </m:r>
            <m:r>
              <m:t>=</m:t>
            </m:r>
            <m:r>
              <m:t>1</m:t>
            </m:r>
          </m:sub>
          <m:sup>
            <m:r>
              <m:t>T</m:t>
            </m:r>
          </m:sup>
          <m:e>
            <m:sSub>
              <m:e>
                <m:r>
                  <m:t>d</m:t>
                </m:r>
              </m:e>
              <m:sub>
                <m:r>
                  <m:t>12</m:t>
                </m:r>
                <m:r>
                  <m:t>t</m:t>
                </m:r>
              </m:sub>
            </m:sSub>
          </m:e>
        </m:nary>
      </m:oMath>
      <w:r>
        <w:t xml:space="preserve"> </w:t>
      </w:r>
      <w:r>
        <w:t xml:space="preserve">= sample means loss differential</w:t>
      </w:r>
    </w:p>
    <w:p>
      <w:pPr>
        <w:pStyle w:val="BodyText"/>
      </w:pP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σ</m:t>
                </m:r>
              </m:e>
            </m:groupChr>
          </m:e>
          <m:sub>
            <m:sSub>
              <m:e>
                <m:bar>
                  <m:barPr>
                    <m:pos m:val="top"/>
                  </m:barPr>
                  <m:e>
                    <m:r>
                      <m:t>d</m:t>
                    </m:r>
                  </m:e>
                </m:bar>
              </m:e>
              <m:sub>
                <m:r>
                  <m:t>12</m:t>
                </m:r>
              </m:sub>
            </m:sSub>
          </m:sub>
        </m:sSub>
      </m:oMath>
      <w:r>
        <w:t xml:space="preserve">= consistent estimate of standard deviation.</w:t>
      </w:r>
    </w:p>
    <w:p>
      <w:pPr>
        <w:pStyle w:val="BodyText"/>
      </w:pPr>
      <w:r>
        <w:t xml:space="preserve">Diebold - Mariano test results confirm our hypothesis that financial big</w:t>
      </w:r>
      <w:r>
        <w:t xml:space="preserve"> </w:t>
      </w:r>
      <w:r>
        <w:t xml:space="preserve">data improve forecasting accuracy for financial cycles (see table 1 for</w:t>
      </w:r>
      <w:r>
        <w:t xml:space="preserve"> </w:t>
      </w:r>
      <w:r>
        <w:t xml:space="preserve">the UK). </w:t>
      </w:r>
    </w:p>
    <w:p>
      <w:pPr>
        <w:pStyle w:val="TableCaption"/>
      </w:pPr>
      <w:r>
        <w:t xml:space="preserve">Forecast Accuracy for the SSA, MSSA for Financial Series in the UK</w:t>
      </w:r>
      <w:r>
        <w:t xml:space="preserve"> </w:t>
      </w:r>
      <w:r>
        <w:t xml:space="preserve">2017Q2 - 2019Q1</w:t>
      </w:r>
      <w:r>
        <w:t xml:space="preserve"> </w:t>
      </w:r>
    </w:p>
    <w:tbl>
      <w:tblPr>
        <w:tblStyle w:val="TableNormal"/>
        <w:tblW w:type="pct" w:w="0.0"/>
        <w:tblLook/>
        <w:tblCaption w:val="Forecast Accuracy for the SSA, MSSA for Financial Series in the UK 2017Q2 - 2019Q1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RMSE</w:t>
            </w:r>
          </w:p>
        </w:tc>
        <w:tc>
          <w:p>
            <w:pPr>
              <w:pStyle w:val="Compact"/>
              <w:jc w:val="center"/>
            </w:pPr>
            <w:r>
              <w:t xml:space="preserve">MAE</w:t>
            </w:r>
          </w:p>
        </w:tc>
        <w:tc>
          <w:p>
            <w:pPr>
              <w:pStyle w:val="Compact"/>
              <w:jc w:val="center"/>
            </w:pPr>
            <w:r>
              <w:t xml:space="preserve">MAPE</w:t>
            </w:r>
          </w:p>
        </w:tc>
        <w:tc>
          <w:p>
            <w:pPr>
              <w:pStyle w:val="Compact"/>
              <w:jc w:val="center"/>
            </w:pPr>
            <w:r>
              <w:t xml:space="preserve">SMAPE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0.33</w:t>
            </w:r>
          </w:p>
        </w:tc>
        <w:tc>
          <w:p>
            <w:pPr>
              <w:pStyle w:val="Compact"/>
              <w:jc w:val="center"/>
            </w:pPr>
            <w:r>
              <w:t xml:space="preserve">0.28</w:t>
            </w:r>
          </w:p>
        </w:tc>
        <w:tc>
          <w:p>
            <w:pPr>
              <w:pStyle w:val="Compact"/>
              <w:jc w:val="center"/>
            </w:pPr>
            <w:r>
              <w:t xml:space="preserve">27.58</w:t>
            </w:r>
          </w:p>
        </w:tc>
        <w:tc>
          <w:p>
            <w:pPr>
              <w:pStyle w:val="Compact"/>
              <w:jc w:val="center"/>
            </w:pPr>
            <w:r>
              <w:t xml:space="preserve">33.41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0.29</w:t>
            </w:r>
          </w:p>
        </w:tc>
        <w:tc>
          <w:p>
            <w:pPr>
              <w:pStyle w:val="Compact"/>
              <w:jc w:val="center"/>
            </w:pPr>
            <w:r>
              <w:t xml:space="preserve">0.25</w:t>
            </w:r>
          </w:p>
        </w:tc>
        <w:tc>
          <w:p>
            <w:pPr>
              <w:pStyle w:val="Compact"/>
              <w:jc w:val="center"/>
            </w:pPr>
            <w:r>
              <w:t xml:space="preserve">23.98</w:t>
            </w:r>
          </w:p>
        </w:tc>
        <w:tc>
          <w:p>
            <w:pPr>
              <w:pStyle w:val="Compact"/>
              <w:jc w:val="center"/>
            </w:pPr>
            <w:r>
              <w:t xml:space="preserve">28.38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Residential property prices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0.37</w:t>
            </w:r>
          </w:p>
        </w:tc>
        <w:tc>
          <w:p>
            <w:pPr>
              <w:pStyle w:val="Compact"/>
              <w:jc w:val="center"/>
            </w:pPr>
            <w:r>
              <w:t xml:space="preserve">0.26</w:t>
            </w:r>
          </w:p>
        </w:tc>
        <w:tc>
          <w:p>
            <w:pPr>
              <w:pStyle w:val="Compact"/>
              <w:jc w:val="center"/>
            </w:pPr>
            <w:r>
              <w:t xml:space="preserve">33.43</w:t>
            </w:r>
          </w:p>
        </w:tc>
        <w:tc>
          <w:p>
            <w:pPr>
              <w:pStyle w:val="Compact"/>
              <w:jc w:val="center"/>
            </w:pPr>
            <w:r>
              <w:t xml:space="preserve">36.09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0.3</w:t>
            </w:r>
          </w:p>
        </w:tc>
        <w:tc>
          <w:p>
            <w:pPr>
              <w:pStyle w:val="Compact"/>
              <w:jc w:val="center"/>
            </w:pPr>
            <w:r>
              <w:t xml:space="preserve">0.2</w:t>
            </w:r>
          </w:p>
        </w:tc>
        <w:tc>
          <w:p>
            <w:pPr>
              <w:pStyle w:val="Compact"/>
              <w:jc w:val="center"/>
            </w:pPr>
            <w:r>
              <w:t xml:space="preserve">25.61</w:t>
            </w:r>
          </w:p>
        </w:tc>
        <w:tc>
          <w:p>
            <w:pPr>
              <w:pStyle w:val="Compact"/>
              <w:jc w:val="center"/>
            </w:pPr>
            <w:r>
              <w:t xml:space="preserve">26.9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to private non-financial sector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0.44</w:t>
            </w:r>
          </w:p>
        </w:tc>
        <w:tc>
          <w:p>
            <w:pPr>
              <w:pStyle w:val="Compact"/>
              <w:jc w:val="center"/>
            </w:pPr>
            <w:r>
              <w:t xml:space="preserve">0.39</w:t>
            </w:r>
          </w:p>
        </w:tc>
        <w:tc>
          <w:p>
            <w:pPr>
              <w:pStyle w:val="Compact"/>
              <w:jc w:val="center"/>
            </w:pPr>
            <w:r>
              <w:t xml:space="preserve">289.35</w:t>
            </w:r>
          </w:p>
        </w:tc>
        <w:tc>
          <w:p>
            <w:pPr>
              <w:pStyle w:val="Compact"/>
              <w:jc w:val="center"/>
            </w:pPr>
            <w:r>
              <w:t xml:space="preserve">164.75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0.33</w:t>
            </w:r>
          </w:p>
        </w:tc>
        <w:tc>
          <w:p>
            <w:pPr>
              <w:pStyle w:val="Compact"/>
              <w:jc w:val="center"/>
            </w:pPr>
            <w:r>
              <w:t xml:space="preserve">0.27</w:t>
            </w:r>
          </w:p>
        </w:tc>
        <w:tc>
          <w:p>
            <w:pPr>
              <w:pStyle w:val="Compact"/>
              <w:jc w:val="center"/>
            </w:pPr>
            <w:r>
              <w:t xml:space="preserve">239.18</w:t>
            </w:r>
          </w:p>
        </w:tc>
        <w:tc>
          <w:p>
            <w:pPr>
              <w:pStyle w:val="Compact"/>
              <w:jc w:val="center"/>
            </w:pPr>
            <w:r>
              <w:t xml:space="preserve">145.67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share in the GDP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From the table 1, we can see that various measures for forecast</w:t>
      </w:r>
      <w:r>
        <w:t xml:space="preserve"> </w:t>
      </w:r>
      <w:r>
        <w:t xml:space="preserve">accuracy, (RMSE - root mean square error), (MAE - mean square error),</w:t>
      </w:r>
      <w:r>
        <w:t xml:space="preserve"> </w:t>
      </w:r>
      <w:r>
        <w:t xml:space="preserve">(MAPE - mean absolute percentage error), (SMAPE - symmetric mean</w:t>
      </w:r>
      <w:r>
        <w:t xml:space="preserve"> </w:t>
      </w:r>
      <w:r>
        <w:t xml:space="preserve">absolute percentage error) for the financial series in the UK from</w:t>
      </w:r>
      <w:r>
        <w:t xml:space="preserve"> </w:t>
      </w:r>
      <w:r>
        <w:t xml:space="preserve">2017Q2 to 2019Q1. The scores from table 1 show that the (MSSA) forecasts</w:t>
      </w:r>
      <w:r>
        <w:t xml:space="preserve"> </w:t>
      </w:r>
      <w:r>
        <w:t xml:space="preserve">(including financial big data) are superior to the (SSA) forecasts (not</w:t>
      </w:r>
      <w:r>
        <w:t xml:space="preserve"> </w:t>
      </w:r>
      <w:r>
        <w:t xml:space="preserve">including financial big data). We can observe that forecasts we obtain</w:t>
      </w:r>
      <w:r>
        <w:t xml:space="preserve"> </w:t>
      </w:r>
      <w:r>
        <w:t xml:space="preserve">using (MSSA) for the period 2017Q2 - 2019Q1 (out of the sample forecasts</w:t>
      </w:r>
      <w:r>
        <w:t xml:space="preserve"> </w:t>
      </w:r>
      <w:r>
        <w:t xml:space="preserve">since we use a sample for the forecasting accuracy comparison from</w:t>
      </w:r>
      <w:r>
        <w:t xml:space="preserve"> </w:t>
      </w:r>
      <w:r>
        <w:t xml:space="preserve">2004Q1 to 2017Q1) for the residential property prices, credit to private</w:t>
      </w:r>
      <w:r>
        <w:t xml:space="preserve"> </w:t>
      </w:r>
      <w:r>
        <w:t xml:space="preserve">non-financial sector, credit share in the GDP in the UK are far superior</w:t>
      </w:r>
      <w:r>
        <w:t xml:space="preserve"> </w:t>
      </w:r>
      <w:r>
        <w:t xml:space="preserve">to the one we obtain using (SSA). Taking into account financial big data</w:t>
      </w:r>
      <w:r>
        <w:t xml:space="preserve"> </w:t>
      </w:r>
      <w:r>
        <w:t xml:space="preserve">improves forecasting accuracy for financial series in the UK. Similar</w:t>
      </w:r>
      <w:r>
        <w:t xml:space="preserve"> </w:t>
      </w:r>
      <w:r>
        <w:t xml:space="preserve">results we observe in the case of the USA (see table 2). </w:t>
      </w:r>
    </w:p>
    <w:p>
      <w:pPr>
        <w:pStyle w:val="TableCaption"/>
      </w:pPr>
      <w:r>
        <w:t xml:space="preserve">Forecast Accuracy for the SSA, MSSA for Financial Series in the USA</w:t>
      </w:r>
      <w:r>
        <w:t xml:space="preserve"> </w:t>
      </w:r>
      <w:r>
        <w:t xml:space="preserve">2017Q2 - 2019Q1</w:t>
      </w:r>
      <w:r>
        <w:t xml:space="preserve"> </w:t>
      </w:r>
    </w:p>
    <w:tbl>
      <w:tblPr>
        <w:tblStyle w:val="TableNormal"/>
        <w:tblW w:type="pct" w:w="0.0"/>
        <w:tblLook/>
        <w:tblCaption w:val="Forecast Accuracy for the SSA, MSSA for Financial Series in the USA 2017Q2 - 2019Q1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RMSE</w:t>
            </w:r>
          </w:p>
        </w:tc>
        <w:tc>
          <w:p>
            <w:pPr>
              <w:pStyle w:val="Compact"/>
              <w:jc w:val="center"/>
            </w:pPr>
            <w:r>
              <w:t xml:space="preserve">MAE</w:t>
            </w:r>
          </w:p>
        </w:tc>
        <w:tc>
          <w:p>
            <w:pPr>
              <w:pStyle w:val="Compact"/>
              <w:jc w:val="center"/>
            </w:pPr>
            <w:r>
              <w:t xml:space="preserve">MAPE</w:t>
            </w:r>
          </w:p>
        </w:tc>
        <w:tc>
          <w:p>
            <w:pPr>
              <w:pStyle w:val="Compact"/>
              <w:jc w:val="center"/>
            </w:pPr>
            <w:r>
              <w:t xml:space="preserve">SMAPE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0.16</w:t>
            </w:r>
          </w:p>
        </w:tc>
        <w:tc>
          <w:p>
            <w:pPr>
              <w:pStyle w:val="Compact"/>
              <w:jc w:val="center"/>
            </w:pPr>
            <w:r>
              <w:t xml:space="preserve">0.14</w:t>
            </w:r>
          </w:p>
        </w:tc>
        <w:tc>
          <w:p>
            <w:pPr>
              <w:pStyle w:val="Compact"/>
              <w:jc w:val="center"/>
            </w:pPr>
            <w:r>
              <w:t xml:space="preserve">26.22</w:t>
            </w:r>
          </w:p>
        </w:tc>
        <w:tc>
          <w:p>
            <w:pPr>
              <w:pStyle w:val="Compact"/>
              <w:jc w:val="center"/>
            </w:pPr>
            <w:r>
              <w:t xml:space="preserve">31.03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p>
            <w:pPr>
              <w:pStyle w:val="Compact"/>
              <w:jc w:val="center"/>
            </w:pPr>
            <w:r>
              <w:t xml:space="preserve">0.08</w:t>
            </w:r>
          </w:p>
        </w:tc>
        <w:tc>
          <w:p>
            <w:pPr>
              <w:pStyle w:val="Compact"/>
              <w:jc w:val="center"/>
            </w:pPr>
            <w:r>
              <w:t xml:space="preserve">17.85</w:t>
            </w:r>
          </w:p>
        </w:tc>
        <w:tc>
          <w:p>
            <w:pPr>
              <w:pStyle w:val="Compact"/>
              <w:jc w:val="center"/>
            </w:pPr>
            <w:r>
              <w:t xml:space="preserve">18.47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Residential property prices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0.46</w:t>
            </w:r>
          </w:p>
        </w:tc>
        <w:tc>
          <w:p>
            <w:pPr>
              <w:pStyle w:val="Compact"/>
              <w:jc w:val="center"/>
            </w:pPr>
            <w:r>
              <w:t xml:space="preserve">0.38</w:t>
            </w:r>
          </w:p>
        </w:tc>
        <w:tc>
          <w:p>
            <w:pPr>
              <w:pStyle w:val="Compact"/>
              <w:jc w:val="center"/>
            </w:pPr>
            <w:r>
              <w:t xml:space="preserve">60.29</w:t>
            </w:r>
          </w:p>
        </w:tc>
        <w:tc>
          <w:p>
            <w:pPr>
              <w:pStyle w:val="Compact"/>
              <w:jc w:val="center"/>
            </w:pPr>
            <w:r>
              <w:t xml:space="preserve">101.11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0.34</w:t>
            </w:r>
          </w:p>
        </w:tc>
        <w:tc>
          <w:p>
            <w:pPr>
              <w:pStyle w:val="Compact"/>
              <w:jc w:val="center"/>
            </w:pPr>
            <w:r>
              <w:t xml:space="preserve">0.29</w:t>
            </w:r>
          </w:p>
        </w:tc>
        <w:tc>
          <w:p>
            <w:pPr>
              <w:pStyle w:val="Compact"/>
              <w:jc w:val="center"/>
            </w:pPr>
            <w:r>
              <w:t xml:space="preserve">46.19</w:t>
            </w:r>
          </w:p>
        </w:tc>
        <w:tc>
          <w:p>
            <w:pPr>
              <w:pStyle w:val="Compact"/>
              <w:jc w:val="center"/>
            </w:pPr>
            <w:r>
              <w:t xml:space="preserve">67.66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to private non-financial sector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0.29</w:t>
            </w:r>
          </w:p>
        </w:tc>
        <w:tc>
          <w:p>
            <w:pPr>
              <w:pStyle w:val="Compact"/>
              <w:jc w:val="center"/>
            </w:pPr>
            <w:r>
              <w:t xml:space="preserve">0.25</w:t>
            </w:r>
          </w:p>
        </w:tc>
        <w:tc>
          <w:p>
            <w:pPr>
              <w:pStyle w:val="Compact"/>
              <w:jc w:val="center"/>
            </w:pPr>
            <w:r>
              <w:t xml:space="preserve">14.81</w:t>
            </w:r>
          </w:p>
        </w:tc>
        <w:tc>
          <w:p>
            <w:pPr>
              <w:pStyle w:val="Compact"/>
              <w:jc w:val="center"/>
            </w:pPr>
            <w:r>
              <w:t xml:space="preserve">15.2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0.25</w:t>
            </w:r>
          </w:p>
        </w:tc>
        <w:tc>
          <w:p>
            <w:pPr>
              <w:pStyle w:val="Compact"/>
              <w:jc w:val="center"/>
            </w:pPr>
            <w:r>
              <w:t xml:space="preserve">0.22</w:t>
            </w:r>
          </w:p>
        </w:tc>
        <w:tc>
          <w:p>
            <w:pPr>
              <w:pStyle w:val="Compact"/>
              <w:jc w:val="center"/>
            </w:pPr>
            <w:r>
              <w:t xml:space="preserve">13.63</w:t>
            </w:r>
          </w:p>
        </w:tc>
        <w:tc>
          <w:p>
            <w:pPr>
              <w:pStyle w:val="Compact"/>
              <w:jc w:val="center"/>
            </w:pPr>
            <w:r>
              <w:t xml:space="preserve">13.42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share in the GDP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As table 2 shows, forecast accuracy scores for residential property</w:t>
      </w:r>
      <w:r>
        <w:t xml:space="preserve"> </w:t>
      </w:r>
      <w:r>
        <w:t xml:space="preserve">prices show (MSSA using financial big data) significantly increase. A</w:t>
      </w:r>
      <w:r>
        <w:t xml:space="preserve"> </w:t>
      </w:r>
      <w:r>
        <w:t xml:space="preserve">significant increase in the forecast accuracy of (MSSA) also is present</w:t>
      </w:r>
      <w:r>
        <w:t xml:space="preserve"> </w:t>
      </w:r>
      <w:r>
        <w:t xml:space="preserve">for the credit to private non-financial sector time-series data. Still</w:t>
      </w:r>
      <w:r>
        <w:t xml:space="preserve"> </w:t>
      </w:r>
      <w:r>
        <w:t xml:space="preserve">statistically significant but with lower forecast accuracy in relation</w:t>
      </w:r>
      <w:r>
        <w:t xml:space="preserve"> </w:t>
      </w:r>
      <w:r>
        <w:t xml:space="preserve">to the (MSSA) forecasts for the residential property prices and credit</w:t>
      </w:r>
      <w:r>
        <w:t xml:space="preserve"> </w:t>
      </w:r>
      <w:r>
        <w:t xml:space="preserve">to the private non-financial sector is the forecast accuracy for the</w:t>
      </w:r>
      <w:r>
        <w:t xml:space="preserve"> </w:t>
      </w:r>
      <w:r>
        <w:t xml:space="preserve">credit share in the GDP. We can conclude that statistical tests for</w:t>
      </w:r>
      <w:r>
        <w:t xml:space="preserve"> </w:t>
      </w:r>
      <w:r>
        <w:t xml:space="preserve">forecast accuracy show financial time series (financial cycle</w:t>
      </w:r>
      <w:r>
        <w:t xml:space="preserve"> </w:t>
      </w:r>
      <w:r>
        <w:t xml:space="preserve">components) can be better forecast when using financial big data in the</w:t>
      </w:r>
      <w:r>
        <w:t xml:space="preserve"> </w:t>
      </w:r>
      <w:r>
        <w:t xml:space="preserve">USA.</w:t>
      </w:r>
    </w:p>
    <w:p>
      <w:pPr>
        <w:pStyle w:val="BodyText"/>
      </w:pPr>
      <w:r>
        <w:br w:type="textWrapping"/>
      </w:r>
      <w:r>
        <w:t xml:space="preserve">For Japan (see table 3), we can also observe that forecast accuracy for</w:t>
      </w:r>
      <w:r>
        <w:t xml:space="preserve"> </w:t>
      </w:r>
      <w:r>
        <w:t xml:space="preserve">the financial cycle components increase if we use financial big data in</w:t>
      </w:r>
      <w:r>
        <w:t xml:space="preserve"> </w:t>
      </w:r>
      <w:r>
        <w:t xml:space="preserve">the forecast process. Statistical test (forecast accuracy scores) show</w:t>
      </w:r>
      <w:r>
        <w:t xml:space="preserve"> </w:t>
      </w:r>
      <w:r>
        <w:t xml:space="preserve">that we can make more accurate forecasts for residential property prices</w:t>
      </w:r>
      <w:r>
        <w:t xml:space="preserve"> </w:t>
      </w:r>
      <w:r>
        <w:t xml:space="preserve">in Japan using financial big data. The same holds for the credit to</w:t>
      </w:r>
      <w:r>
        <w:t xml:space="preserve"> </w:t>
      </w:r>
      <w:r>
        <w:t xml:space="preserve">private non-financial sector time series data with accuracy scores in</w:t>
      </w:r>
      <w:r>
        <w:t xml:space="preserve"> </w:t>
      </w:r>
      <w:r>
        <w:t xml:space="preserve">favor of using (MSSA) for forecasting. We can notice a significant</w:t>
      </w:r>
      <w:r>
        <w:t xml:space="preserve"> </w:t>
      </w:r>
      <w:r>
        <w:t xml:space="preserve">increase in the forecast accuracy for the credit share in the GDP time</w:t>
      </w:r>
      <w:r>
        <w:t xml:space="preserve"> </w:t>
      </w:r>
      <w:r>
        <w:t xml:space="preserve">series data with residual errors being 2 to 3 times lower if we use</w:t>
      </w:r>
      <w:r>
        <w:t xml:space="preserve"> </w:t>
      </w:r>
      <w:r>
        <w:t xml:space="preserve">financial big data and (MSSA) for forecasting. </w:t>
      </w:r>
    </w:p>
    <w:p>
      <w:pPr>
        <w:pStyle w:val="TableCaption"/>
      </w:pPr>
      <w:r>
        <w:t xml:space="preserve">Forecast Accuracy for the SSA, MSSA for Financial Series in Japan 2017Q2</w:t>
      </w:r>
      <w:r>
        <w:t xml:space="preserve"> </w:t>
      </w:r>
      <w:r>
        <w:t xml:space="preserve">- 2019Q1</w:t>
      </w:r>
      <w:r>
        <w:t xml:space="preserve"> </w:t>
      </w:r>
    </w:p>
    <w:tbl>
      <w:tblPr>
        <w:tblStyle w:val="TableNormal"/>
        <w:tblW w:type="pct" w:w="0.0"/>
        <w:tblLook/>
        <w:tblCaption w:val="Forecast Accuracy for the SSA, MSSA for Financial Series in Japan 2017Q2 - 2019Q1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RMSE</w:t>
            </w:r>
          </w:p>
        </w:tc>
        <w:tc>
          <w:p>
            <w:pPr>
              <w:pStyle w:val="Compact"/>
              <w:jc w:val="center"/>
            </w:pPr>
            <w:r>
              <w:t xml:space="preserve">MAE</w:t>
            </w:r>
          </w:p>
        </w:tc>
        <w:tc>
          <w:p>
            <w:pPr>
              <w:pStyle w:val="Compact"/>
              <w:jc w:val="center"/>
            </w:pPr>
            <w:r>
              <w:t xml:space="preserve">MAPE</w:t>
            </w:r>
          </w:p>
        </w:tc>
        <w:tc>
          <w:p>
            <w:pPr>
              <w:pStyle w:val="Compact"/>
              <w:jc w:val="center"/>
            </w:pPr>
            <w:r>
              <w:t xml:space="preserve">SMAPE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0.38</w:t>
            </w:r>
          </w:p>
        </w:tc>
        <w:tc>
          <w:p>
            <w:pPr>
              <w:pStyle w:val="Compact"/>
              <w:jc w:val="center"/>
            </w:pPr>
            <w:r>
              <w:t xml:space="preserve">0.28</w:t>
            </w:r>
          </w:p>
        </w:tc>
        <w:tc>
          <w:p>
            <w:pPr>
              <w:pStyle w:val="Compact"/>
              <w:jc w:val="center"/>
            </w:pPr>
            <w:r>
              <w:t xml:space="preserve">59.77</w:t>
            </w:r>
          </w:p>
        </w:tc>
        <w:tc>
          <w:p>
            <w:pPr>
              <w:pStyle w:val="Compact"/>
              <w:jc w:val="center"/>
            </w:pPr>
            <w:r>
              <w:t xml:space="preserve">34.64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0.32</w:t>
            </w:r>
          </w:p>
        </w:tc>
        <w:tc>
          <w:p>
            <w:pPr>
              <w:pStyle w:val="Compact"/>
              <w:jc w:val="center"/>
            </w:pPr>
            <w:r>
              <w:t xml:space="preserve">0.24</w:t>
            </w:r>
          </w:p>
        </w:tc>
        <w:tc>
          <w:p>
            <w:pPr>
              <w:pStyle w:val="Compact"/>
              <w:jc w:val="center"/>
            </w:pPr>
            <w:r>
              <w:t xml:space="preserve">54.01</w:t>
            </w:r>
          </w:p>
        </w:tc>
        <w:tc>
          <w:p>
            <w:pPr>
              <w:pStyle w:val="Compact"/>
              <w:jc w:val="center"/>
            </w:pPr>
            <w:r>
              <w:t xml:space="preserve">31.7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Residential property prices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0.4</w:t>
            </w:r>
          </w:p>
        </w:tc>
        <w:tc>
          <w:p>
            <w:pPr>
              <w:pStyle w:val="Compact"/>
              <w:jc w:val="center"/>
            </w:pPr>
            <w:r>
              <w:t xml:space="preserve">0.34</w:t>
            </w:r>
          </w:p>
        </w:tc>
        <w:tc>
          <w:p>
            <w:pPr>
              <w:pStyle w:val="Compact"/>
              <w:jc w:val="center"/>
            </w:pPr>
            <w:r>
              <w:t xml:space="preserve">52.18</w:t>
            </w:r>
          </w:p>
        </w:tc>
        <w:tc>
          <w:p>
            <w:pPr>
              <w:pStyle w:val="Compact"/>
              <w:jc w:val="center"/>
            </w:pPr>
            <w:r>
              <w:t xml:space="preserve">74.63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0.3</w:t>
            </w:r>
          </w:p>
        </w:tc>
        <w:tc>
          <w:p>
            <w:pPr>
              <w:pStyle w:val="Compact"/>
              <w:jc w:val="center"/>
            </w:pPr>
            <w:r>
              <w:t xml:space="preserve">0.26</w:t>
            </w:r>
          </w:p>
        </w:tc>
        <w:tc>
          <w:p>
            <w:pPr>
              <w:pStyle w:val="Compact"/>
              <w:jc w:val="center"/>
            </w:pPr>
            <w:r>
              <w:t xml:space="preserve">114.02</w:t>
            </w:r>
          </w:p>
        </w:tc>
        <w:tc>
          <w:p>
            <w:pPr>
              <w:pStyle w:val="Compact"/>
              <w:jc w:val="center"/>
            </w:pPr>
            <w:r>
              <w:t xml:space="preserve">52.45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to private non-financial sector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0.73</w:t>
            </w:r>
          </w:p>
        </w:tc>
        <w:tc>
          <w:p>
            <w:pPr>
              <w:pStyle w:val="Compact"/>
              <w:jc w:val="center"/>
            </w:pPr>
            <w:r>
              <w:t xml:space="preserve">0.66</w:t>
            </w:r>
          </w:p>
        </w:tc>
        <w:tc>
          <w:p>
            <w:pPr>
              <w:pStyle w:val="Compact"/>
              <w:jc w:val="center"/>
            </w:pPr>
            <w:r>
              <w:t xml:space="preserve">256.54</w:t>
            </w:r>
          </w:p>
        </w:tc>
        <w:tc>
          <w:p>
            <w:pPr>
              <w:pStyle w:val="Compact"/>
              <w:jc w:val="center"/>
            </w:pPr>
            <w:r>
              <w:t xml:space="preserve">160.17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0.26</w:t>
            </w:r>
          </w:p>
        </w:tc>
        <w:tc>
          <w:p>
            <w:pPr>
              <w:pStyle w:val="Compact"/>
              <w:jc w:val="center"/>
            </w:pPr>
            <w:r>
              <w:t xml:space="preserve">0.24</w:t>
            </w:r>
          </w:p>
        </w:tc>
        <w:tc>
          <w:p>
            <w:pPr>
              <w:pStyle w:val="Compact"/>
              <w:jc w:val="center"/>
            </w:pPr>
            <w:r>
              <w:t xml:space="preserve">74.18</w:t>
            </w:r>
          </w:p>
        </w:tc>
        <w:tc>
          <w:p>
            <w:pPr>
              <w:pStyle w:val="Compact"/>
              <w:jc w:val="center"/>
            </w:pPr>
            <w:r>
              <w:t xml:space="preserve">104.32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share in the GDP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Table 4 show forecast accuracy scores for the (SSA) and (MSSA) in</w:t>
      </w:r>
      <w:r>
        <w:t xml:space="preserve"> </w:t>
      </w:r>
      <w:r>
        <w:t xml:space="preserve">forecasting financial cycle components in China. </w:t>
      </w:r>
    </w:p>
    <w:p>
      <w:pPr>
        <w:pStyle w:val="TableCaption"/>
      </w:pPr>
      <w:r>
        <w:t xml:space="preserve">Forecast Accuracy for the SSA, MSSA for Financial Series in China 2017Q2</w:t>
      </w:r>
      <w:r>
        <w:t xml:space="preserve"> </w:t>
      </w:r>
      <w:r>
        <w:t xml:space="preserve">- 2019Q1</w:t>
      </w:r>
      <w:r>
        <w:t xml:space="preserve"> </w:t>
      </w:r>
    </w:p>
    <w:tbl>
      <w:tblPr>
        <w:tblStyle w:val="TableNormal"/>
        <w:tblW w:type="pct" w:w="0.0"/>
        <w:tblLook/>
        <w:tblCaption w:val="Forecast Accuracy for the SSA, MSSA for Financial Series in China 2017Q2 - 2019Q1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RMSE</w:t>
            </w:r>
          </w:p>
        </w:tc>
        <w:tc>
          <w:p>
            <w:pPr>
              <w:pStyle w:val="Compact"/>
              <w:jc w:val="center"/>
            </w:pPr>
            <w:r>
              <w:t xml:space="preserve">MAE</w:t>
            </w:r>
          </w:p>
        </w:tc>
        <w:tc>
          <w:p>
            <w:pPr>
              <w:pStyle w:val="Compact"/>
              <w:jc w:val="center"/>
            </w:pPr>
            <w:r>
              <w:t xml:space="preserve">MAPE</w:t>
            </w:r>
          </w:p>
        </w:tc>
        <w:tc>
          <w:p>
            <w:pPr>
              <w:pStyle w:val="Compact"/>
              <w:jc w:val="center"/>
            </w:pPr>
            <w:r>
              <w:t xml:space="preserve">SMAPE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1.51</w:t>
            </w:r>
          </w:p>
        </w:tc>
        <w:tc>
          <w:p>
            <w:pPr>
              <w:pStyle w:val="Compact"/>
              <w:jc w:val="center"/>
            </w:pPr>
            <w:r>
              <w:t xml:space="preserve">1.2</w:t>
            </w:r>
          </w:p>
        </w:tc>
        <w:tc>
          <w:p>
            <w:pPr>
              <w:pStyle w:val="Compact"/>
              <w:jc w:val="center"/>
            </w:pPr>
            <w:r>
              <w:t xml:space="preserve">64.79</w:t>
            </w:r>
          </w:p>
        </w:tc>
        <w:tc>
          <w:p>
            <w:pPr>
              <w:pStyle w:val="Compact"/>
              <w:jc w:val="center"/>
            </w:pPr>
            <w:r>
              <w:t xml:space="preserve">111.03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0.81</w:t>
            </w:r>
          </w:p>
        </w:tc>
        <w:tc>
          <w:p>
            <w:pPr>
              <w:pStyle w:val="Compact"/>
              <w:jc w:val="center"/>
            </w:pPr>
            <w:r>
              <w:t xml:space="preserve">0.7</w:t>
            </w:r>
          </w:p>
        </w:tc>
        <w:tc>
          <w:p>
            <w:pPr>
              <w:pStyle w:val="Compact"/>
              <w:jc w:val="center"/>
            </w:pPr>
            <w:r>
              <w:t xml:space="preserve">39.62</w:t>
            </w:r>
          </w:p>
        </w:tc>
        <w:tc>
          <w:p>
            <w:pPr>
              <w:pStyle w:val="Compact"/>
              <w:jc w:val="center"/>
            </w:pPr>
            <w:r>
              <w:t xml:space="preserve">51.4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Residential property prices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0.61</w:t>
            </w:r>
          </w:p>
        </w:tc>
        <w:tc>
          <w:p>
            <w:pPr>
              <w:pStyle w:val="Compact"/>
              <w:jc w:val="center"/>
            </w:pPr>
            <w:r>
              <w:t xml:space="preserve">0.53</w:t>
            </w:r>
          </w:p>
        </w:tc>
        <w:tc>
          <w:p>
            <w:pPr>
              <w:pStyle w:val="Compact"/>
              <w:jc w:val="center"/>
            </w:pPr>
            <w:r>
              <w:t xml:space="preserve">31.03</w:t>
            </w:r>
          </w:p>
        </w:tc>
        <w:tc>
          <w:p>
            <w:pPr>
              <w:pStyle w:val="Compact"/>
              <w:jc w:val="center"/>
            </w:pPr>
            <w:r>
              <w:t xml:space="preserve">33.03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0.46</w:t>
            </w:r>
          </w:p>
        </w:tc>
        <w:tc>
          <w:p>
            <w:pPr>
              <w:pStyle w:val="Compact"/>
              <w:jc w:val="center"/>
            </w:pPr>
            <w:r>
              <w:t xml:space="preserve">0.44</w:t>
            </w:r>
          </w:p>
        </w:tc>
        <w:tc>
          <w:p>
            <w:pPr>
              <w:pStyle w:val="Compact"/>
              <w:jc w:val="center"/>
            </w:pPr>
            <w:r>
              <w:t xml:space="preserve">28.35</w:t>
            </w:r>
          </w:p>
        </w:tc>
        <w:tc>
          <w:p>
            <w:pPr>
              <w:pStyle w:val="Compact"/>
              <w:jc w:val="center"/>
            </w:pPr>
            <w:r>
              <w:t xml:space="preserve">26.27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to private non-financial sector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  <w:jc w:val="center"/>
            </w:pPr>
            <w:r>
              <w:t xml:space="preserve">SSA</w:t>
            </w:r>
          </w:p>
        </w:tc>
        <w:tc>
          <w:p>
            <w:pPr>
              <w:pStyle w:val="Compact"/>
              <w:jc w:val="center"/>
            </w:pPr>
            <w:r>
              <w:t xml:space="preserve">0.25</w:t>
            </w:r>
          </w:p>
        </w:tc>
        <w:tc>
          <w:p>
            <w:pPr>
              <w:pStyle w:val="Compact"/>
              <w:jc w:val="center"/>
            </w:pPr>
            <w:r>
              <w:t xml:space="preserve">0.19</w:t>
            </w:r>
          </w:p>
        </w:tc>
        <w:tc>
          <w:p>
            <w:pPr>
              <w:pStyle w:val="Compact"/>
              <w:jc w:val="center"/>
            </w:pPr>
            <w:r>
              <w:t xml:space="preserve">12.01</w:t>
            </w:r>
          </w:p>
        </w:tc>
        <w:tc>
          <w:p>
            <w:pPr>
              <w:pStyle w:val="Compact"/>
              <w:jc w:val="center"/>
            </w:pPr>
            <w:r>
              <w:t xml:space="preserve">11.42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MSSA</w:t>
            </w:r>
          </w:p>
        </w:tc>
        <w:tc>
          <w:p>
            <w:pPr>
              <w:pStyle w:val="Compact"/>
              <w:jc w:val="center"/>
            </w:pPr>
            <w:r>
              <w:t xml:space="preserve">0.24</w:t>
            </w:r>
          </w:p>
        </w:tc>
        <w:tc>
          <w:p>
            <w:pPr>
              <w:pStyle w:val="Compact"/>
              <w:jc w:val="center"/>
            </w:pPr>
            <w:r>
              <w:t xml:space="preserve">0.18</w:t>
            </w:r>
          </w:p>
        </w:tc>
        <w:tc>
          <w:p>
            <w:pPr>
              <w:pStyle w:val="Compact"/>
              <w:jc w:val="center"/>
            </w:pPr>
            <w:r>
              <w:t xml:space="preserve">12.05</w:t>
            </w:r>
          </w:p>
        </w:tc>
        <w:tc>
          <w:p>
            <w:pPr>
              <w:pStyle w:val="Compact"/>
              <w:jc w:val="center"/>
            </w:pPr>
            <w:r>
              <w:t xml:space="preserve">11.04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Credit share in the GDP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Forecast accuracy for residential property prices in China improves</w:t>
      </w:r>
      <w:r>
        <w:t xml:space="preserve"> </w:t>
      </w:r>
      <w:r>
        <w:t xml:space="preserve">significantly when we use financial big data for forecasting in relation</w:t>
      </w:r>
      <w:r>
        <w:t xml:space="preserve"> </w:t>
      </w:r>
      <w:r>
        <w:t xml:space="preserve">to the results we obtain without these data. We can see from table 4</w:t>
      </w:r>
      <w:r>
        <w:t xml:space="preserve"> </w:t>
      </w:r>
      <w:r>
        <w:t xml:space="preserve">that all forecast accuracy scores prove the validity of this statement.</w:t>
      </w:r>
      <w:r>
        <w:t xml:space="preserve"> </w:t>
      </w:r>
      <w:r>
        <w:t xml:space="preserve">For the credit to private non-financial sector time series forecast</w:t>
      </w:r>
      <w:r>
        <w:t xml:space="preserve"> </w:t>
      </w:r>
      <w:r>
        <w:t xml:space="preserve">accuracy when using financial big data improves as well (on a smaller</w:t>
      </w:r>
      <w:r>
        <w:t xml:space="preserve"> </w:t>
      </w:r>
      <w:r>
        <w:t xml:space="preserve">scale when compared to the forecast accuracy for the residential</w:t>
      </w:r>
      <w:r>
        <w:t xml:space="preserve"> </w:t>
      </w:r>
      <w:r>
        <w:t xml:space="preserve">property prices). The same result holds for the credit share in the GDP</w:t>
      </w:r>
      <w:r>
        <w:t xml:space="preserve"> </w:t>
      </w:r>
      <w:r>
        <w:t xml:space="preserve">series with forecast accuracy using financial big data (MSSA) outperform</w:t>
      </w:r>
      <w:r>
        <w:t xml:space="preserve"> </w:t>
      </w:r>
      <w:r>
        <w:t xml:space="preserve">the forecast produces by (SSA) without financial big data. </w:t>
      </w:r>
    </w:p>
    <w:p>
      <w:pPr>
        <w:pStyle w:val="BodyText"/>
      </w:pPr>
      <w:r>
        <w:t xml:space="preserve">Forecast accuracy tests and scores show on the sample for the UK, USA,</w:t>
      </w:r>
      <w:r>
        <w:t xml:space="preserve"> </w:t>
      </w:r>
      <w:r>
        <w:t xml:space="preserve">Japan and China (four growth potential economies quite different in</w:t>
      </w:r>
      <w:r>
        <w:t xml:space="preserve"> </w:t>
      </w:r>
      <w:r>
        <w:t xml:space="preserve">structure and size) that financial big data can significantly improve</w:t>
      </w:r>
      <w:r>
        <w:t xml:space="preserve"> </w:t>
      </w:r>
      <w:r>
        <w:t xml:space="preserve">forecasting of the financial cycle components (residential property</w:t>
      </w:r>
      <w:r>
        <w:t xml:space="preserve"> </w:t>
      </w:r>
      <w:r>
        <w:t xml:space="preserve">prices, credit to private non-financial sector and credit share in the</w:t>
      </w:r>
      <w:r>
        <w:t xml:space="preserve"> </w:t>
      </w:r>
      <w:r>
        <w:t xml:space="preserve">GDP).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0" w:name="conclusion"/>
      <w:bookmarkEnd w:id="30"/>
      <w:r>
        <w:t xml:space="preserve">Conclusion</w:t>
      </w:r>
    </w:p>
    <w:p>
      <w:pPr>
        <w:pStyle w:val="FirstParagraph"/>
      </w:pPr>
      <w:r>
        <w:t xml:space="preserve">This study has demonstrated that using financial big data significantly</w:t>
      </w:r>
      <w:r>
        <w:t xml:space="preserve"> </w:t>
      </w:r>
      <w:r>
        <w:t xml:space="preserve">improve the forecast accuracy for financial cycle components</w:t>
      </w:r>
      <w:r>
        <w:t xml:space="preserve"> </w:t>
      </w:r>
      <w:r>
        <w:t xml:space="preserve">(residential property prices, credit to private non-financial sector and</w:t>
      </w:r>
      <w:r>
        <w:t xml:space="preserve"> </w:t>
      </w:r>
      <w:r>
        <w:t xml:space="preserve">credit share in the GDP). The forecast test results show on the data for</w:t>
      </w:r>
      <w:r>
        <w:t xml:space="preserve"> </w:t>
      </w:r>
      <w:r>
        <w:t xml:space="preserve">the UK, USA, Japan and China that inclusion of the financial big data</w:t>
      </w:r>
      <w:r>
        <w:t xml:space="preserve"> </w:t>
      </w:r>
      <w:r>
        <w:t xml:space="preserve">significantly (on the level from 30% to four times) improves forecast</w:t>
      </w:r>
      <w:r>
        <w:t xml:space="preserve"> </w:t>
      </w:r>
      <w:r>
        <w:t xml:space="preserve">accuracy for financial cycle components. This is the first study to</w:t>
      </w:r>
      <w:r>
        <w:t xml:space="preserve"> </w:t>
      </w:r>
      <w:r>
        <w:t xml:space="preserve">examine the role of the financial big data in the study of financial</w:t>
      </w:r>
      <w:r>
        <w:t xml:space="preserve"> </w:t>
      </w:r>
      <w:r>
        <w:t xml:space="preserve">cycles. Inclusion of the financial big data in the various model (time</w:t>
      </w:r>
      <w:r>
        <w:t xml:space="preserve"> </w:t>
      </w:r>
      <w:r>
        <w:t xml:space="preserve">series, frequency domain, turning point, multiple cycles) aiming at</w:t>
      </w:r>
      <w:r>
        <w:t xml:space="preserve"> </w:t>
      </w:r>
      <w:r>
        <w:t xml:space="preserve">measuring the exact length of financial cycles. Such a knowledge</w:t>
      </w:r>
      <w:r>
        <w:t xml:space="preserve"> </w:t>
      </w:r>
      <w:r>
        <w:t xml:space="preserve">(financial big data) will help to better understand the mechanism behind</w:t>
      </w:r>
      <w:r>
        <w:t xml:space="preserve"> </w:t>
      </w:r>
      <w:r>
        <w:t xml:space="preserve">financial cycles, methods and tools for their monitoring and</w:t>
      </w:r>
      <w:r>
        <w:t xml:space="preserve"> </w:t>
      </w:r>
      <w:r>
        <w:t xml:space="preserve">forecasting. Policymakers and central banks motivated to mitigate the</w:t>
      </w:r>
      <w:r>
        <w:t xml:space="preserve"> </w:t>
      </w:r>
      <w:r>
        <w:t xml:space="preserve">risks of the financial cycles will find this knowledge useful in</w:t>
      </w:r>
      <w:r>
        <w:t xml:space="preserve"> </w:t>
      </w:r>
      <w:r>
        <w:t xml:space="preserve">building new models for financial cycles detection and forecasting. </w:t>
      </w:r>
    </w:p>
    <w:p>
      <w:pPr>
        <w:pStyle w:val="BodyText"/>
      </w:pPr>
      <w:r>
        <w:t xml:space="preserve">The lack of studies using financial big data for measuring and</w:t>
      </w:r>
      <w:r>
        <w:t xml:space="preserve"> </w:t>
      </w:r>
      <w:r>
        <w:t xml:space="preserve">forecasting financial cycles may indicate that policymakers,</w:t>
      </w:r>
      <w:r>
        <w:t xml:space="preserve"> </w:t>
      </w:r>
      <w:r>
        <w:t xml:space="preserve">practitioners and academics do not find the link between financial big</w:t>
      </w:r>
      <w:r>
        <w:t xml:space="preserve"> </w:t>
      </w:r>
      <w:r>
        <w:t xml:space="preserve">data and financial cycles important or promising. Another plausible</w:t>
      </w:r>
      <w:r>
        <w:t xml:space="preserve"> </w:t>
      </w:r>
      <w:r>
        <w:t xml:space="preserve">explanation is that financial big data from their point of view serve</w:t>
      </w:r>
      <w:r>
        <w:t xml:space="preserve"> </w:t>
      </w:r>
      <w:r>
        <w:t xml:space="preserve">the purpose of forecasting financial conditions (Subrahmanyam 2019),</w:t>
      </w:r>
      <w:r>
        <w:t xml:space="preserve"> </w:t>
      </w:r>
      <w:r>
        <w:t xml:space="preserve">market portfolio selection (Fan et al. 2012: 412–428), equity prices</w:t>
      </w:r>
      <w:r>
        <w:t xml:space="preserve"> </w:t>
      </w:r>
      <w:r>
        <w:t xml:space="preserve">forecasting, mitigating risks and volatility on the financial markets.</w:t>
      </w:r>
      <w:r>
        <w:t xml:space="preserve"> </w:t>
      </w:r>
      <w:r>
        <w:t xml:space="preserve">Although all these issues are important for financial</w:t>
      </w:r>
      <w:r>
        <w:t xml:space="preserve"> </w:t>
      </w:r>
      <w:r>
        <w:t xml:space="preserve">studies (Alessi et al. 2009), no previous study on the link between</w:t>
      </w:r>
      <w:r>
        <w:t xml:space="preserve"> </w:t>
      </w:r>
      <w:r>
        <w:t xml:space="preserve">financial cycles and big data exists. </w:t>
      </w:r>
    </w:p>
    <w:p>
      <w:pPr>
        <w:pStyle w:val="BodyText"/>
      </w:pPr>
      <w:r>
        <w:t xml:space="preserve">Our analysis suggests research on financial cycles can be significantly</w:t>
      </w:r>
      <w:r>
        <w:t xml:space="preserve"> </w:t>
      </w:r>
      <w:r>
        <w:t xml:space="preserve">improved if the financial big data are used in the research. The Diebold</w:t>
      </w:r>
      <w:r>
        <w:t xml:space="preserve"> </w:t>
      </w:r>
      <w:r>
        <w:t xml:space="preserve">- Mariano test result confirms the validity of the hypothesis that</w:t>
      </w:r>
      <w:r>
        <w:t xml:space="preserve"> </w:t>
      </w:r>
      <w:r>
        <w:t xml:space="preserve">financial big data are important for measurement and forecasting of the</w:t>
      </w:r>
      <w:r>
        <w:t xml:space="preserve"> </w:t>
      </w:r>
      <w:r>
        <w:t xml:space="preserve">financial cycles. Our findings bring important insight to the</w:t>
      </w:r>
      <w:r>
        <w:t xml:space="preserve"> </w:t>
      </w:r>
      <w:r>
        <w:t xml:space="preserve">policymakers and financial practitioners and academic community as well</w:t>
      </w:r>
      <w:r>
        <w:t xml:space="preserve"> </w:t>
      </w:r>
      <w:r>
        <w:t xml:space="preserve">as interested in monitoring and studying the nature and consequence of</w:t>
      </w:r>
      <w:r>
        <w:t xml:space="preserve"> </w:t>
      </w:r>
      <w:r>
        <w:t xml:space="preserve">the financial cycles and their role in financial crisis and thus</w:t>
      </w:r>
      <w:r>
        <w:t xml:space="preserve"> </w:t>
      </w:r>
      <w:r>
        <w:t xml:space="preserve">business cycles. </w:t>
      </w:r>
    </w:p>
    <w:p>
      <w:pPr>
        <w:pStyle w:val="BodyText"/>
      </w:pPr>
      <w:r>
        <w:t xml:space="preserve">An important strength of our study is that we use several financial big</w:t>
      </w:r>
      <w:r>
        <w:t xml:space="preserve"> </w:t>
      </w:r>
      <w:r>
        <w:t xml:space="preserve">data (supporting the research of (TETLOCK 2007: 1139–1168) for a sample of four</w:t>
      </w:r>
      <w:r>
        <w:t xml:space="preserve"> </w:t>
      </w:r>
      <w:r>
        <w:t xml:space="preserve">countries reporting several forecast accuracy scores and Diebold-Mariano</w:t>
      </w:r>
      <w:r>
        <w:t xml:space="preserve"> </w:t>
      </w:r>
      <w:r>
        <w:t xml:space="preserve">test results. However, since financial big data are not available in a</w:t>
      </w:r>
      <w:r>
        <w:t xml:space="preserve"> </w:t>
      </w:r>
      <w:r>
        <w:t xml:space="preserve">long time series form, we use a limited-time series sample. Furthermore,</w:t>
      </w:r>
      <w:r>
        <w:t xml:space="preserve"> </w:t>
      </w:r>
      <w:r>
        <w:t xml:space="preserve">research results should be validated for a larger sample of countries</w:t>
      </w:r>
      <w:r>
        <w:t xml:space="preserve"> </w:t>
      </w:r>
      <w:r>
        <w:t xml:space="preserve">that could bring additional insight into the research question. </w:t>
      </w:r>
    </w:p>
    <w:p>
      <w:pPr>
        <w:pStyle w:val="BodyText"/>
      </w:pPr>
      <w:r>
        <w:t xml:space="preserve">In our sample, all forecast accuracy statistics and Diebold-Mariano test</w:t>
      </w:r>
      <w:r>
        <w:t xml:space="preserve"> </w:t>
      </w:r>
      <w:r>
        <w:t xml:space="preserve">results put forward a single, statistically validated conclusion -</w:t>
      </w:r>
      <w:r>
        <w:t xml:space="preserve"> </w:t>
      </w:r>
      <w:r>
        <w:t xml:space="preserve">financial big data are an important element for studying financial</w:t>
      </w:r>
      <w:r>
        <w:t xml:space="preserve"> </w:t>
      </w:r>
      <w:r>
        <w:t xml:space="preserve">cycles. We encourage further research to clearly distinguish whether</w:t>
      </w:r>
      <w:r>
        <w:t xml:space="preserve"> </w:t>
      </w:r>
      <w:r>
        <w:t xml:space="preserve">financial cycles research is based on financial big data; identify the</w:t>
      </w:r>
      <w:r>
        <w:t xml:space="preserve"> </w:t>
      </w:r>
      <w:r>
        <w:t xml:space="preserve">most important sources of such data (statistical robustness), and become</w:t>
      </w:r>
      <w:r>
        <w:t xml:space="preserve"> </w:t>
      </w:r>
      <w:r>
        <w:t xml:space="preserve">familiar with developing new study models on financial cycles using</w:t>
      </w:r>
      <w:r>
        <w:t xml:space="preserve"> </w:t>
      </w:r>
      <w:r>
        <w:t xml:space="preserve">financial big data.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1" w:name="references"/>
      <w:bookmarkEnd w:id="31"/>
      <w:r>
        <w:t xml:space="preserve">References</w:t>
      </w:r>
    </w:p>
    <w:p>
      <w:pPr>
        <w:pStyle w:val="FirstParagraph"/>
      </w:pPr>
      <w:r>
        <w:t xml:space="preserve">Alessi L., Barigozzi M., Capasso M., Others 2009.</w:t>
      </w:r>
      <w:r>
        <w:t xml:space="preserve"> </w:t>
      </w:r>
      <w:r>
        <w:t xml:space="preserve">Forecasting large datasets with conditionally heteroskedastic dynamic common factors</w:t>
      </w:r>
      <w:r>
        <w:t xml:space="preserve">,</w:t>
      </w:r>
      <w:r>
        <w:t xml:space="preserve"> </w:t>
      </w:r>
      <w:r>
        <w:rPr>
          <w:i/>
        </w:rPr>
        <w:t xml:space="preserve">European Central Bank Working Paper</w:t>
      </w:r>
      <w:r>
        <w:t xml:space="preserve"> </w:t>
      </w:r>
      <w:r>
        <w:t xml:space="preserve">1115.</w:t>
      </w:r>
    </w:p>
    <w:p>
      <w:pPr>
        <w:pStyle w:val="BodyText"/>
      </w:pPr>
      <w:r>
        <w:t xml:space="preserve">Altissimo F., Cristadoro R., Forni M., Lippi M., Veronese G. 2010.</w:t>
      </w:r>
      <w:r>
        <w:t xml:space="preserve"> </w:t>
      </w:r>
      <w:r>
        <w:t xml:space="preserve">New Eurocoin: Tracking economic growth in real time</w:t>
      </w:r>
      <w:r>
        <w:t xml:space="preserve">,</w:t>
      </w:r>
      <w:r>
        <w:t xml:space="preserve"> </w:t>
      </w:r>
      <w:r>
        <w:rPr>
          <w:i/>
        </w:rPr>
        <w:t xml:space="preserve">Review of Economics and Statistics</w:t>
      </w:r>
      <w:r>
        <w:t xml:space="preserve">. DOI: 10.1162/REST_a_00045 .</w:t>
      </w:r>
    </w:p>
    <w:p>
      <w:pPr>
        <w:pStyle w:val="BodyText"/>
      </w:pPr>
      <w:r>
        <w:t xml:space="preserve">Bartlett M.S. 1954.</w:t>
      </w:r>
      <w:r>
        <w:t xml:space="preserve"> </w:t>
      </w:r>
      <w:r>
        <w:t xml:space="preserve">A note on the multiplying factors for various</w:t>
      </w:r>
      <w:r>
        <w:t xml:space="preserve"> </w:t>
      </w:r>
      <w:r>
        <w:t xml:space="preserve">$</w:t>
      </w:r>
      <w:r>
        <w:t xml:space="preserve"> </w:t>
      </w:r>
      <w:r>
        <w:t xml:space="preserve">2 approximations</w:t>
      </w:r>
      <w:r>
        <w:t xml:space="preserve">,</w:t>
      </w:r>
      <w:r>
        <w:t xml:space="preserve"> </w:t>
      </w:r>
      <w:r>
        <w:rPr>
          <w:i/>
        </w:rPr>
        <w:t xml:space="preserve">Journal of the Royal Statistical Society. Series B (Methodological)</w:t>
      </w:r>
      <w:r>
        <w:t xml:space="preserve">: 296–298.</w:t>
      </w:r>
    </w:p>
    <w:p>
      <w:pPr>
        <w:pStyle w:val="BodyText"/>
      </w:pPr>
      <w:r>
        <w:t xml:space="preserve">Ba</w:t>
      </w:r>
      <w:r>
        <w:t xml:space="preserve">ń</w:t>
      </w:r>
      <w:r>
        <w:t xml:space="preserve">bura M., Modugno M. 2014.</w:t>
      </w:r>
      <w:r>
        <w:t xml:space="preserve"> </w:t>
      </w:r>
      <w:r>
        <w:t xml:space="preserve">Maximum likelihood estimation of factor models on datasets with arbitrary pattern of missing data</w:t>
      </w:r>
      <w:r>
        <w:t xml:space="preserve">,</w:t>
      </w:r>
      <w:r>
        <w:t xml:space="preserve"> </w:t>
      </w:r>
      <w:r>
        <w:rPr>
          <w:i/>
        </w:rPr>
        <w:t xml:space="preserve">Journal of Applied Econometrics</w:t>
      </w:r>
      <w:r>
        <w:t xml:space="preserve">. DOI: 10.1002/jae.2306 .</w:t>
      </w:r>
    </w:p>
    <w:p>
      <w:pPr>
        <w:pStyle w:val="BodyText"/>
      </w:pPr>
      <w:r>
        <w:t xml:space="preserve">Borio C., Drehmann M. 2011.</w:t>
      </w:r>
      <w:r>
        <w:t xml:space="preserve"> </w:t>
      </w:r>
      <w:r>
        <w:t xml:space="preserve">Financial Instability and Macroeconomics: Bridging the Gulf</w:t>
      </w:r>
      <w:r>
        <w:t xml:space="preserve">, : 237–268. DOI: 10.1142/9789814322096_0017 .</w:t>
      </w:r>
    </w:p>
    <w:p>
      <w:pPr>
        <w:pStyle w:val="BodyText"/>
      </w:pPr>
      <w:r>
        <w:t xml:space="preserve">Choi H., Varian H. 2012.</w:t>
      </w:r>
      <w:r>
        <w:t xml:space="preserve"> </w:t>
      </w:r>
      <w:r>
        <w:t xml:space="preserve">Predicting the Present with Google Trends</w:t>
      </w:r>
      <w:r>
        <w:t xml:space="preserve">,</w:t>
      </w:r>
      <w:r>
        <w:t xml:space="preserve"> </w:t>
      </w:r>
      <w:r>
        <w:rPr>
          <w:i/>
        </w:rPr>
        <w:t xml:space="preserve">Economic Record</w:t>
      </w:r>
      <w:r>
        <w:t xml:space="preserve">. DOI: 10.1111/j.1475-4932.2012.00809.x .</w:t>
      </w:r>
    </w:p>
    <w:p>
      <w:pPr>
        <w:pStyle w:val="BodyText"/>
      </w:pPr>
      <w:r>
        <w:t xml:space="preserve">Chordia T., Green T.C., Kottimukkalur B. 2018.</w:t>
      </w:r>
      <w:r>
        <w:t xml:space="preserve"> </w:t>
      </w:r>
      <w:r>
        <w:t xml:space="preserve">Rent Seeking by Low-Latency Traders: Evidence from Trading on Macroeconomic Announcements</w:t>
      </w:r>
      <w:r>
        <w:t xml:space="preserve">,</w:t>
      </w:r>
      <w:r>
        <w:t xml:space="preserve"> </w:t>
      </w:r>
      <w:r>
        <w:rPr>
          <w:i/>
        </w:rPr>
        <w:t xml:space="preserve">The Review of Financial Studies</w:t>
      </w:r>
      <w:r>
        <w:t xml:space="preserve"> </w:t>
      </w:r>
      <w:r>
        <w:t xml:space="preserve">31(12): 4650–4687. DOI: 10.1093/rfs/hhy025 .</w:t>
      </w:r>
    </w:p>
    <w:p>
      <w:pPr>
        <w:pStyle w:val="BodyText"/>
      </w:pPr>
      <w:r>
        <w:t xml:space="preserve">Diebold F.X. 2015.</w:t>
      </w:r>
      <w:r>
        <w:t xml:space="preserve"> </w:t>
      </w:r>
      <w:r>
        <w:t xml:space="preserve">Comparing Predictive Accuracy, Twenty Years Later: A Personal Perspective on the Use and Abuse of Diebold–Mariano Tests</w:t>
      </w:r>
      <w:r>
        <w:t xml:space="preserve">,</w:t>
      </w:r>
      <w:r>
        <w:t xml:space="preserve"> </w:t>
      </w:r>
      <w:r>
        <w:rPr>
          <w:i/>
        </w:rPr>
        <w:t xml:space="preserve">Journal of Business and Economic Statistics</w:t>
      </w:r>
      <w:r>
        <w:t xml:space="preserve">. DOI: 10.1080/07350015.2014.983236 .</w:t>
      </w:r>
    </w:p>
    <w:p>
      <w:pPr>
        <w:pStyle w:val="BodyText"/>
      </w:pPr>
      <w:r>
        <w:t xml:space="preserve">Diebold F.X., Mariano R.S. 1995.</w:t>
      </w:r>
      <w:r>
        <w:t xml:space="preserve"> </w:t>
      </w:r>
      <w:r>
        <w:t xml:space="preserve">Comparing predictive accuracy</w:t>
      </w:r>
      <w:r>
        <w:t xml:space="preserve">,</w:t>
      </w:r>
      <w:r>
        <w:t xml:space="preserve"> </w:t>
      </w:r>
      <w:r>
        <w:rPr>
          <w:i/>
        </w:rPr>
        <w:t xml:space="preserve">Journal of Business and Economic Statistics</w:t>
      </w:r>
      <w:r>
        <w:t xml:space="preserve">. DOI: 10.1080/07350015.1995.10524599 .</w:t>
      </w:r>
    </w:p>
    <w:p>
      <w:pPr>
        <w:pStyle w:val="BodyText"/>
      </w:pPr>
      <w:r>
        <w:t xml:space="preserve">Drehmann M., Borio C., Tsatsaronis K. 2012.</w:t>
      </w:r>
      <w:r>
        <w:t xml:space="preserve"> </w:t>
      </w:r>
      <w:r>
        <w:t xml:space="preserve">Characterising the Financial Cycle: Don’t Lose Sight of the Medium Term!</w:t>
      </w:r>
      <w:r>
        <w:t xml:space="preserve">,</w:t>
      </w:r>
      <w:r>
        <w:t xml:space="preserve"> </w:t>
      </w:r>
      <w:r>
        <w:rPr>
          <w:i/>
        </w:rPr>
        <w:t xml:space="preserve">BIS Working Papers</w:t>
      </w:r>
      <w:r>
        <w:t xml:space="preserve"> </w:t>
      </w:r>
      <w:r>
        <w:t xml:space="preserve">(380): 1–38. DOI: DOI: .</w:t>
      </w:r>
    </w:p>
    <w:p>
      <w:pPr>
        <w:pStyle w:val="BodyText"/>
      </w:pPr>
      <w:r>
        <w:t xml:space="preserve">Drehmann M., Borio C., Tsatsaronis K. 2013.</w:t>
      </w:r>
      <w:r>
        <w:t xml:space="preserve"> </w:t>
      </w:r>
      <w:r>
        <w:t xml:space="preserve">Can We Identify the Financial Cycle?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World Scientific Studies in International Economics</w:t>
      </w:r>
      <w:r>
        <w:t xml:space="preserve">.</w:t>
      </w:r>
      <w:r>
        <w:t xml:space="preserve"> </w:t>
      </w:r>
      <w:r>
        <w:t xml:space="preserve">WORLD</w:t>
      </w:r>
      <w:r>
        <w:t xml:space="preserve"> </w:t>
      </w:r>
      <w:r>
        <w:t xml:space="preserve">SCIENTIFIC</w:t>
      </w:r>
      <w:r>
        <w:t xml:space="preserve">. DOI: 10.1142/9789814449922_0007 .</w:t>
      </w:r>
    </w:p>
    <w:p>
      <w:pPr>
        <w:pStyle w:val="BodyText"/>
      </w:pPr>
      <w:r>
        <w:t xml:space="preserve">Fan J., Li Y., Yu K. 2012.</w:t>
      </w:r>
      <w:r>
        <w:t xml:space="preserve"> </w:t>
      </w:r>
      <w:r>
        <w:t xml:space="preserve">Vast Volatility Matrix Estimation Using High-Frequency Data for Portfolio Selection</w:t>
      </w:r>
      <w:r>
        <w:t xml:space="preserve">,</w:t>
      </w:r>
      <w:r>
        <w:t xml:space="preserve"> </w:t>
      </w:r>
      <w:r>
        <w:rPr>
          <w:i/>
        </w:rPr>
        <w:t xml:space="preserve">Journal of the American Statistical Association</w:t>
      </w:r>
      <w:r>
        <w:t xml:space="preserve"> </w:t>
      </w:r>
      <w:r>
        <w:t xml:space="preserve">107(497): 412–428. DOI: 10.1080/01621459.2012.656041 .</w:t>
      </w:r>
    </w:p>
    <w:p>
      <w:pPr>
        <w:pStyle w:val="BodyText"/>
      </w:pPr>
      <w:r>
        <w:t xml:space="preserve">Fisher R.A. 1929.</w:t>
      </w:r>
      <w:r>
        <w:t xml:space="preserve"> </w:t>
      </w:r>
      <w:r>
        <w:t xml:space="preserve">Tests of significance in harmonic analysis</w:t>
      </w:r>
      <w:r>
        <w:t xml:space="preserve">,</w:t>
      </w:r>
      <w:r>
        <w:t xml:space="preserve"> </w:t>
      </w:r>
      <w:r>
        <w:rPr>
          <w:i/>
        </w:rPr>
        <w:t xml:space="preserve">Proceedings of the Royal Society of London. Series A, Containing Papers of a Mathematical and Physical Character</w:t>
      </w:r>
      <w:r>
        <w:t xml:space="preserve"> </w:t>
      </w:r>
      <w:r>
        <w:t xml:space="preserve">125(796): 54–59.</w:t>
      </w:r>
    </w:p>
    <w:p>
      <w:pPr>
        <w:pStyle w:val="BodyText"/>
      </w:pPr>
      <w:r>
        <w:t xml:space="preserve">Ghil M., et al. 2002.</w:t>
      </w:r>
      <w:r>
        <w:t xml:space="preserve"> </w:t>
      </w:r>
      <w:r>
        <w:t xml:space="preserve">Advanced spectral methods for climatic time series</w:t>
      </w:r>
      <w:r>
        <w:t xml:space="preserve">,</w:t>
      </w:r>
      <w:r>
        <w:t xml:space="preserve"> </w:t>
      </w:r>
      <w:r>
        <w:rPr>
          <w:i/>
        </w:rPr>
        <w:t xml:space="preserve">Reviews of Geophysics</w:t>
      </w:r>
      <w:r>
        <w:t xml:space="preserve">. DOI: 10.1029/2000RG000092 .</w:t>
      </w:r>
    </w:p>
    <w:p>
      <w:pPr>
        <w:pStyle w:val="BodyText"/>
      </w:pPr>
      <w:r>
        <w:t xml:space="preserve">Gupta R., Kabundi A., Miller S.M., Uwilingiye J. 2014.</w:t>
      </w:r>
      <w:r>
        <w:t xml:space="preserve"> </w:t>
      </w:r>
      <w:r>
        <w:t xml:space="preserve">Using large data sets to forecast sectoral employment</w:t>
      </w:r>
      <w:r>
        <w:t xml:space="preserve">,</w:t>
      </w:r>
      <w:r>
        <w:t xml:space="preserve"> </w:t>
      </w:r>
      <w:r>
        <w:rPr>
          <w:i/>
        </w:rPr>
        <w:t xml:space="preserve">Statistical Methods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Applications</w:t>
      </w:r>
      <w:r>
        <w:t xml:space="preserve"> </w:t>
      </w:r>
      <w:r>
        <w:t xml:space="preserve">23(2): 229–264.</w:t>
      </w:r>
    </w:p>
    <w:p>
      <w:pPr>
        <w:pStyle w:val="BodyText"/>
      </w:pPr>
      <w:r>
        <w:t xml:space="preserve">Hassani H., Silva E.S. 2015.</w:t>
      </w:r>
      <w:r>
        <w:t xml:space="preserve"> </w:t>
      </w:r>
      <w:r>
        <w:t xml:space="preserve">Forecasting with Big Data: A Review</w:t>
      </w:r>
      <w:r>
        <w:t xml:space="preserve">,</w:t>
      </w:r>
      <w:r>
        <w:t xml:space="preserve"> </w:t>
      </w:r>
      <w:r>
        <w:rPr>
          <w:i/>
        </w:rPr>
        <w:t xml:space="preserve">Annals of Data Science</w:t>
      </w:r>
      <w:r>
        <w:t xml:space="preserve">. DOI: 10.1007/s40745-015-0029-9 .</w:t>
      </w:r>
    </w:p>
    <w:p>
      <w:pPr>
        <w:pStyle w:val="BodyText"/>
      </w:pPr>
      <w:r>
        <w:t xml:space="preserve">Hiebert P., Klaus B., Peltonen T.A., Sch</w:t>
      </w:r>
      <w:r>
        <w:t xml:space="preserve">ü</w:t>
      </w:r>
      <w:r>
        <w:t xml:space="preserve">ler Y.S., Welz P. 2014.</w:t>
      </w:r>
      <w:r>
        <w:t xml:space="preserve"> </w:t>
      </w:r>
      <w:r>
        <w:t xml:space="preserve">Capturing the financial cycle in euro area countries</w:t>
      </w:r>
      <w:r>
        <w:t xml:space="preserve">,</w:t>
      </w:r>
      <w:r>
        <w:t xml:space="preserve"> </w:t>
      </w:r>
      <w:r>
        <w:rPr>
          <w:i/>
        </w:rPr>
        <w:t xml:space="preserve">ECB Financial Stability Review</w:t>
      </w:r>
      <w:r>
        <w:t xml:space="preserve"> </w:t>
      </w:r>
      <w:r>
        <w:t xml:space="preserve">(November): 109–117Prieiga per internetą:</w:t>
      </w:r>
      <w:r>
        <w:t xml:space="preserve"> </w:t>
      </w:r>
      <w:hyperlink r:id="rId32">
        <w:r>
          <w:rPr>
            <w:rStyle w:val="Hyperlink"/>
          </w:rPr>
          <w:t xml:space="preserve">http://www.group30.org/images/PDF/Macroprudential{_}Report{_}Final.pdf.</w:t>
        </w:r>
      </w:hyperlink>
    </w:p>
    <w:p>
      <w:pPr>
        <w:pStyle w:val="BodyText"/>
      </w:pPr>
      <w:r>
        <w:t xml:space="preserve">Huang J. 2018.</w:t>
      </w:r>
      <w:r>
        <w:t xml:space="preserve"> </w:t>
      </w:r>
      <w:r>
        <w:t xml:space="preserve">The customer knows best: The investment value of consumer opinions</w:t>
      </w:r>
      <w:r>
        <w:t xml:space="preserve">,</w:t>
      </w:r>
      <w:r>
        <w:t xml:space="preserve"> </w:t>
      </w:r>
      <w:r>
        <w:rPr>
          <w:i/>
        </w:rPr>
        <w:t xml:space="preserve">Journal of Financial Economics</w:t>
      </w:r>
      <w:r>
        <w:t xml:space="preserve"> </w:t>
      </w:r>
      <w:r>
        <w:t xml:space="preserve">128(1): 164–182. DOI: 10.1016/j.jfineco.2018.02.001 .</w:t>
      </w:r>
    </w:p>
    <w:p>
      <w:pPr>
        <w:pStyle w:val="BodyText"/>
      </w:pPr>
      <w:r>
        <w:t xml:space="preserve">Keynes J.M. 1936.</w:t>
      </w:r>
      <w:r>
        <w:t xml:space="preserve"> </w:t>
      </w:r>
      <w:r>
        <w:rPr>
          <w:i/>
        </w:rPr>
        <w:t xml:space="preserve">The general theory of employment, interest and money</w:t>
      </w:r>
      <w:r>
        <w:t xml:space="preserve">London : Macmillan, 1936.Prieiga per internetą:</w:t>
      </w:r>
      <w:r>
        <w:t xml:space="preserve"> </w:t>
      </w:r>
      <w:hyperlink r:id="rId33">
        <w:r>
          <w:rPr>
            <w:rStyle w:val="Hyperlink"/>
          </w:rPr>
          <w:t xml:space="preserve">https://search.library.wisc.edu/catalog/999623618402121.</w:t>
        </w:r>
      </w:hyperlink>
    </w:p>
    <w:p>
      <w:pPr>
        <w:pStyle w:val="BodyText"/>
      </w:pPr>
      <w:r>
        <w:t xml:space="preserve">Milburn O. 2007.</w:t>
      </w:r>
      <w:r>
        <w:t xml:space="preserve"> </w:t>
      </w:r>
      <w:r>
        <w:t xml:space="preserve">The book of the young master of accountancy: An ancient Chinese economics text</w:t>
      </w:r>
      <w:r>
        <w:t xml:space="preserve">,</w:t>
      </w:r>
      <w:r>
        <w:t xml:space="preserve"> </w:t>
      </w:r>
      <w:r>
        <w:rPr>
          <w:i/>
        </w:rPr>
        <w:t xml:space="preserve">Journal of the Economic and Social History of the Orient</w:t>
      </w:r>
      <w:r>
        <w:t xml:space="preserve">. DOI: 10.1163/156852007780324002 .</w:t>
      </w:r>
    </w:p>
    <w:p>
      <w:pPr>
        <w:pStyle w:val="BodyText"/>
      </w:pPr>
      <w:r>
        <w:t xml:space="preserve">Minsky H.P. 1963.</w:t>
      </w:r>
      <w:r>
        <w:t xml:space="preserve"> </w:t>
      </w:r>
      <w:r>
        <w:t xml:space="preserve">Can ’it’ happen aggain?</w:t>
      </w:r>
      <w:r>
        <w:t xml:space="preserve"> </w:t>
      </w:r>
      <w:r>
        <w:t xml:space="preserve">In D. Carson, ed.</w:t>
      </w:r>
      <w:r>
        <w:t xml:space="preserve"> </w:t>
      </w:r>
      <w:r>
        <w:rPr>
          <w:i/>
        </w:rPr>
        <w:t xml:space="preserve">Banking and Monetary Studies</w:t>
      </w:r>
      <w:r>
        <w:t xml:space="preserve">. , Illinois: Homewood.</w:t>
      </w:r>
    </w:p>
    <w:p>
      <w:pPr>
        <w:pStyle w:val="BodyText"/>
      </w:pPr>
      <w:r>
        <w:t xml:space="preserve">Minsky H.P. 1975.</w:t>
      </w:r>
      <w:r>
        <w:t xml:space="preserve"> </w:t>
      </w:r>
      <w:r>
        <w:rPr>
          <w:i/>
        </w:rPr>
        <w:t xml:space="preserve">John Maynard Keynes</w:t>
      </w:r>
      <w:r>
        <w:t xml:space="preserve">, New York: Columbia University Press.</w:t>
      </w:r>
    </w:p>
    <w:p>
      <w:pPr>
        <w:pStyle w:val="BodyText"/>
      </w:pPr>
      <w:r>
        <w:t xml:space="preserve">Phillips A.W. 1962.</w:t>
      </w:r>
      <w:r>
        <w:t xml:space="preserve"> </w:t>
      </w:r>
      <w:r>
        <w:t xml:space="preserve">Employment, Inflation and Growth</w:t>
      </w:r>
      <w:r>
        <w:t xml:space="preserve">,</w:t>
      </w:r>
      <w:r>
        <w:t xml:space="preserve"> </w:t>
      </w:r>
      <w:r>
        <w:rPr>
          <w:i/>
        </w:rPr>
        <w:t xml:space="preserve">Economica</w:t>
      </w:r>
      <w:r>
        <w:t xml:space="preserve">. DOI: 10.1111/j.1468-0335.1962.tb00001.x .</w:t>
      </w:r>
    </w:p>
    <w:p>
      <w:pPr>
        <w:pStyle w:val="BodyText"/>
      </w:pPr>
      <w:r>
        <w:t xml:space="preserve">Ronderos N. 2014.</w:t>
      </w:r>
      <w:r>
        <w:t xml:space="preserve"> </w:t>
      </w:r>
      <w:r>
        <w:t xml:space="preserve">Spectral Analysis using EViews</w:t>
      </w:r>
      <w:r>
        <w:t xml:space="preserve">Prieiga per internetą:</w:t>
      </w:r>
      <w:r>
        <w:t xml:space="preserve"> </w:t>
      </w:r>
      <w:hyperlink r:id="rId34">
        <w:r>
          <w:rPr>
            <w:rStyle w:val="Hyperlink"/>
          </w:rPr>
          <w:t xml:space="preserve">https://www.eviews.com/Addins/SpectralAnalysis.aipz.</w:t>
        </w:r>
      </w:hyperlink>
    </w:p>
    <w:p>
      <w:pPr>
        <w:pStyle w:val="BodyText"/>
      </w:pPr>
      <w:r>
        <w:t xml:space="preserve">R</w:t>
      </w:r>
      <w:r>
        <w:t xml:space="preserve">ü</w:t>
      </w:r>
      <w:r>
        <w:t xml:space="preserve">nstler G., Vlekke M. 2018.</w:t>
      </w:r>
      <w:r>
        <w:t xml:space="preserve"> </w:t>
      </w:r>
      <w:r>
        <w:t xml:space="preserve">Business and Financial Cycles : an Unobserved Components Models Perspective</w:t>
      </w:r>
      <w:r>
        <w:t xml:space="preserve">,</w:t>
      </w:r>
      <w:r>
        <w:t xml:space="preserve"> </w:t>
      </w:r>
      <w:r>
        <w:rPr>
          <w:i/>
        </w:rPr>
        <w:t xml:space="preserve">Journal of Applied Econometrics</w:t>
      </w:r>
      <w:r>
        <w:t xml:space="preserve"> </w:t>
      </w:r>
      <w:r>
        <w:t xml:space="preserve">33(2): 212–226.</w:t>
      </w:r>
    </w:p>
    <w:p>
      <w:pPr>
        <w:pStyle w:val="BodyText"/>
      </w:pPr>
      <w:r>
        <w:t xml:space="preserve">Schumpeter J.A. 1939.</w:t>
      </w:r>
      <w:r>
        <w:t xml:space="preserve"> </w:t>
      </w:r>
      <w:r>
        <w:rPr>
          <w:i/>
        </w:rPr>
        <w:t xml:space="preserve">Business Cycles: A Theoretical, Historical, and Statistical Analysis of the Capitalist Process</w:t>
      </w:r>
      <w:r>
        <w:t xml:space="preserve"> </w:t>
      </w:r>
      <w:r>
        <w:t xml:space="preserve">First, New York: McGraw-Hill.</w:t>
      </w:r>
    </w:p>
    <w:p>
      <w:pPr>
        <w:pStyle w:val="BodyText"/>
      </w:pPr>
      <w:r>
        <w:t xml:space="preserve">Sch</w:t>
      </w:r>
      <w:r>
        <w:t xml:space="preserve">ü</w:t>
      </w:r>
      <w:r>
        <w:t xml:space="preserve">ler Y.S., Hiebert P.P., Peltonen T.A. 2015.</w:t>
      </w:r>
      <w:r>
        <w:t xml:space="preserve"> </w:t>
      </w:r>
      <w:r>
        <w:t xml:space="preserve">Characterising the financial cycle: a multivariate and time-varying approach</w:t>
      </w:r>
      <w:r>
        <w:t xml:space="preserve">,</w:t>
      </w:r>
      <w:r>
        <w:t xml:space="preserve"> </w:t>
      </w:r>
      <w:r>
        <w:rPr>
          <w:i/>
        </w:rPr>
        <w:t xml:space="preserve">ECB Working Paper Series</w:t>
      </w:r>
      <w:r>
        <w:t xml:space="preserve">.</w:t>
      </w:r>
    </w:p>
    <w:p>
      <w:pPr>
        <w:pStyle w:val="BodyText"/>
      </w:pPr>
      <w:r>
        <w:t xml:space="preserve">Silver N. 2012.</w:t>
      </w:r>
      <w:r>
        <w:t xml:space="preserve"> </w:t>
      </w:r>
      <w:r>
        <w:rPr>
          <w:i/>
        </w:rPr>
        <w:t xml:space="preserve">The Signal and the Noise: Why So Many Predictions Fail-but Some Don’t</w:t>
      </w:r>
      <w:r>
        <w:t xml:space="preserve">Penguin Publishing Group.Prieiga per internetą:</w:t>
      </w:r>
      <w:r>
        <w:t xml:space="preserve"> </w:t>
      </w:r>
      <w:hyperlink r:id="rId35">
        <w:r>
          <w:rPr>
            <w:rStyle w:val="Hyperlink"/>
          </w:rPr>
          <w:t xml:space="preserve">https://books.google.hr/books?id=SI-VqAT4{_}hYC.</w:t>
        </w:r>
      </w:hyperlink>
    </w:p>
    <w:p>
      <w:pPr>
        <w:pStyle w:val="BodyText"/>
      </w:pPr>
      <w:r>
        <w:t xml:space="preserve">Skare M., Rochon M.P. 2019.</w:t>
      </w:r>
      <w:r>
        <w:t xml:space="preserve"> </w:t>
      </w:r>
      <w:r>
        <w:t xml:space="preserve">Multi-channel Singular-Spectrum Analysis (MSSA) of Financial Cycles in Ten Developed Economies 1970-2018</w:t>
      </w:r>
      <w:r>
        <w:t xml:space="preserve">,</w:t>
      </w:r>
      <w:r>
        <w:t xml:space="preserve"> </w:t>
      </w:r>
      <w:r>
        <w:rPr>
          <w:i/>
        </w:rPr>
        <w:t xml:space="preserve">Journal of Business Research</w:t>
      </w:r>
      <w:r>
        <w:t xml:space="preserve"> </w:t>
      </w:r>
      <w:r>
        <w:t xml:space="preserve">Forthcoming.</w:t>
      </w:r>
    </w:p>
    <w:p>
      <w:pPr>
        <w:pStyle w:val="BodyText"/>
      </w:pPr>
      <w:r>
        <w:t xml:space="preserve">Strohsal T., Proa</w:t>
      </w:r>
      <w:r>
        <w:t xml:space="preserve">ñ</w:t>
      </w:r>
      <w:r>
        <w:t xml:space="preserve">o C.R., Wolters J. 2019.</w:t>
      </w:r>
      <w:r>
        <w:t xml:space="preserve"> </w:t>
      </w:r>
      <w:r>
        <w:t xml:space="preserve">Characterizing the financial cycle: Evidence from a frequency domain analysis</w:t>
      </w:r>
      <w:r>
        <w:t xml:space="preserve">,</w:t>
      </w:r>
      <w:r>
        <w:t xml:space="preserve"> </w:t>
      </w:r>
      <w:r>
        <w:rPr>
          <w:i/>
        </w:rPr>
        <w:t xml:space="preserve">Journal of Banking and Finance</w:t>
      </w:r>
      <w:r>
        <w:t xml:space="preserve"> </w:t>
      </w:r>
      <w:r>
        <w:t xml:space="preserve">49(0). DOI: 10.1016/j.jbankfin.2019.06.010 .</w:t>
      </w:r>
    </w:p>
    <w:p>
      <w:pPr>
        <w:pStyle w:val="BodyText"/>
      </w:pPr>
      <w:r>
        <w:t xml:space="preserve">Strohsal T., Proa</w:t>
      </w:r>
      <w:r>
        <w:t xml:space="preserve">ñ</w:t>
      </w:r>
      <w:r>
        <w:t xml:space="preserve">o C.R., Wolters J. 2019.</w:t>
      </w:r>
      <w:r>
        <w:t xml:space="preserve"> </w:t>
      </w:r>
      <w:r>
        <w:t xml:space="preserve">Characterizing the financial cycle: Evidence from a frequency domain analysis</w:t>
      </w:r>
      <w:r>
        <w:t xml:space="preserve">,</w:t>
      </w:r>
      <w:r>
        <w:t xml:space="preserve"> </w:t>
      </w:r>
      <w:r>
        <w:rPr>
          <w:i/>
        </w:rPr>
        <w:t xml:space="preserve">Journal of Banking and Finance</w:t>
      </w:r>
      <w:r>
        <w:t xml:space="preserve">. DOI: 10.1016/j.jbankfin.2019.06.010 .</w:t>
      </w:r>
    </w:p>
    <w:p>
      <w:pPr>
        <w:pStyle w:val="BodyText"/>
      </w:pPr>
      <w:r>
        <w:t xml:space="preserve">Subrahmanyam A. 2019.</w:t>
      </w:r>
      <w:r>
        <w:t xml:space="preserve"> </w:t>
      </w:r>
      <w:r>
        <w:t xml:space="preserve">Big Data in Finance: Evidence and Challenges</w:t>
      </w:r>
      <w:r>
        <w:t xml:space="preserve">,</w:t>
      </w:r>
      <w:r>
        <w:t xml:space="preserve"> </w:t>
      </w:r>
      <w:r>
        <w:rPr>
          <w:i/>
        </w:rPr>
        <w:t xml:space="preserve">Borsa Istanbul Review</w:t>
      </w:r>
      <w:r>
        <w:t xml:space="preserve">.</w:t>
      </w:r>
    </w:p>
    <w:p>
      <w:pPr>
        <w:pStyle w:val="BodyText"/>
      </w:pPr>
      <w:r>
        <w:t xml:space="preserve">TETLOCK P.A.U.L.C. 2007.</w:t>
      </w:r>
      <w:r>
        <w:t xml:space="preserve"> </w:t>
      </w:r>
      <w:r>
        <w:t xml:space="preserve">Giving Content to Investor Sentiment: The Role of Media in the Stock Market</w:t>
      </w:r>
      <w:r>
        <w:t xml:space="preserve">,</w:t>
      </w:r>
      <w:r>
        <w:t xml:space="preserve"> </w:t>
      </w:r>
      <w:r>
        <w:rPr>
          <w:i/>
        </w:rPr>
        <w:t xml:space="preserve">The Journal of Finance</w:t>
      </w:r>
      <w:r>
        <w:t xml:space="preserve"> </w:t>
      </w:r>
      <w:r>
        <w:t xml:space="preserve">62(3): 1139–1168. DOI: 10.1111/j.1540-6261.2007.01232.x .</w:t>
      </w:r>
    </w:p>
    <w:p>
      <w:pPr>
        <w:pStyle w:val="BodyText"/>
      </w:pPr>
      <w:r>
        <w:t xml:space="preserve">Tetlock P.C., Saar-Tsechansky M., Macskassy S. 2008.</w:t>
      </w:r>
      <w:r>
        <w:t xml:space="preserve"> </w:t>
      </w:r>
      <w:r>
        <w:t xml:space="preserve">More Than Words: Quantifying Language to Measure Firms’ Fundamentals</w:t>
      </w:r>
      <w:r>
        <w:t xml:space="preserve">,</w:t>
      </w:r>
      <w:r>
        <w:t xml:space="preserve"> </w:t>
      </w:r>
      <w:r>
        <w:rPr>
          <w:i/>
        </w:rPr>
        <w:t xml:space="preserve">Journal of Finance</w:t>
      </w:r>
      <w:r>
        <w:t xml:space="preserve">. DOI: 10.1111/j.1540-6261.2008.01362.x .</w:t>
      </w:r>
    </w:p>
    <w:p>
      <w:pPr>
        <w:pStyle w:val="BodyText"/>
      </w:pPr>
      <w:r>
        <w:t xml:space="preserve">Tissot B. 2019.</w:t>
      </w:r>
      <w:r>
        <w:t xml:space="preserve"> </w:t>
      </w:r>
      <w:r>
        <w:t xml:space="preserve">Financial big data and policy work: opportunities and challenges</w:t>
      </w:r>
      <w:r>
        <w:t xml:space="preserve">, : 1–21. DOI: 10.2785/093952 .</w:t>
      </w:r>
    </w:p>
    <w:p>
      <w:pPr>
        <w:pStyle w:val="BodyText"/>
      </w:pPr>
      <w:r>
        <w:t xml:space="preserve">Vautard R., Yiou P., Ghil M. 1992.</w:t>
      </w:r>
      <w:r>
        <w:t xml:space="preserve"> </w:t>
      </w:r>
      <w:r>
        <w:t xml:space="preserve">Singular-spectrum analysis: A toolkit for short, noisy chaotic signals</w:t>
      </w:r>
      <w:r>
        <w:t xml:space="preserve">,</w:t>
      </w:r>
      <w:r>
        <w:t xml:space="preserve"> </w:t>
      </w:r>
      <w:r>
        <w:rPr>
          <w:i/>
        </w:rPr>
        <w:t xml:space="preserve">Physica D: Nonlinear Phenomena</w:t>
      </w:r>
      <w:r>
        <w:t xml:space="preserve"> </w:t>
      </w:r>
      <w:r>
        <w:t xml:space="preserve">58(1-4): 95–126. DOI: 10.1016/0167-2789(92)90103-T .</w:t>
      </w:r>
    </w:p>
    <w:p>
      <w:pPr>
        <w:pStyle w:val="BodyText"/>
      </w:pPr>
      <w:r>
        <w:t xml:space="preserve">Whittle P. 1952.</w:t>
      </w:r>
      <w:r>
        <w:t xml:space="preserve"> </w:t>
      </w:r>
      <w:r>
        <w:t xml:space="preserve">Tests of Fit in Time Series</w:t>
      </w:r>
      <w:r>
        <w:t xml:space="preserve">,</w:t>
      </w:r>
      <w:r>
        <w:t xml:space="preserve"> </w:t>
      </w:r>
      <w:r>
        <w:rPr>
          <w:i/>
        </w:rPr>
        <w:t xml:space="preserve">Biometrika</w:t>
      </w:r>
      <w:r>
        <w:t xml:space="preserve"> </w:t>
      </w:r>
      <w:r>
        <w:t xml:space="preserve">39(3/4): 309. DOI: 10.2307/2334027 .</w:t>
      </w:r>
    </w:p>
    <w:p>
      <w:pPr>
        <w:pStyle w:val="BodyText"/>
      </w:pPr>
      <w:r>
        <w:t xml:space="preserve">Wibisono O., Ari H.D., Widjanarti A., Zulen A.A., Tissot B. 2019.</w:t>
      </w:r>
      <w:r>
        <w:t xml:space="preserve"> </w:t>
      </w:r>
      <w:r>
        <w:t xml:space="preserve">The use of big data analytics and artificial intelligence in central banking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Proceedings of the IFC – Bank Indonesia International Workshop and Seminar in Bali on 23-26 July 2018</w:t>
      </w:r>
      <w:r>
        <w:t xml:space="preserve">. Irving Fisher Committee on Central Bank Statistics.</w:t>
      </w:r>
    </w:p>
    <w:p>
      <w:pPr>
        <w:pStyle w:val="BodyText"/>
      </w:pPr>
      <w:r>
        <w:t xml:space="preserve">William Wei</w:t>
      </w:r>
      <w:r>
        <w:t xml:space="preserve"> </w:t>
      </w:r>
      <w:r>
        <w:t xml:space="preserve">W.S. 1994.</w:t>
      </w:r>
      <w:r>
        <w:t xml:space="preserve"> </w:t>
      </w:r>
      <w:r>
        <w:t xml:space="preserve">Time Series Analysis. Univariate and Multivariate Methods</w:t>
      </w:r>
      <w:r>
        <w:t xml:space="preserve">,</w:t>
      </w:r>
      <w:r>
        <w:t xml:space="preserve"> </w:t>
      </w:r>
      <w:r>
        <w:rPr>
          <w:i/>
        </w:rPr>
        <w:t xml:space="preserve">Ed. Addison Wesley, California, Redwood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6050ba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985d42e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hyperlink" Id="rId32" Target="http://www.group30.org/images/PDF/Macroprudential{_}Report{_}Final.pdf." TargetMode="External" /><Relationship Type="http://schemas.openxmlformats.org/officeDocument/2006/relationships/hyperlink" Id="rId35" Target="https://books.google.hr/books?id=SI-VqAT4{_}hYC." TargetMode="External" /><Relationship Type="http://schemas.openxmlformats.org/officeDocument/2006/relationships/hyperlink" Id="rId33" Target="https://search.library.wisc.edu/catalog/999623618402121." TargetMode="External" /><Relationship Type="http://schemas.openxmlformats.org/officeDocument/2006/relationships/hyperlink" Id="rId34" Target="https://www.eviews.com/Addins/SpectralAnalysis.aipz." TargetMode="External" /><Relationship Type="http://schemas.openxmlformats.org/officeDocument/2006/relationships/hyperlink" Id="rId24" Target="https://www.investing.com/rates-bonds/china-10-year-bond-yield-historical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www.group30.org/images/PDF/Macroprudential{_}Report{_}Final.pdf." TargetMode="External" /><Relationship Type="http://schemas.openxmlformats.org/officeDocument/2006/relationships/hyperlink" Id="rId35" Target="https://books.google.hr/books?id=SI-VqAT4{_}hYC." TargetMode="External" /><Relationship Type="http://schemas.openxmlformats.org/officeDocument/2006/relationships/hyperlink" Id="rId33" Target="https://search.library.wisc.edu/catalog/999623618402121." TargetMode="External" /><Relationship Type="http://schemas.openxmlformats.org/officeDocument/2006/relationships/hyperlink" Id="rId34" Target="https://www.eviews.com/Addins/SpectralAnalysis.aipz." TargetMode="External" /><Relationship Type="http://schemas.openxmlformats.org/officeDocument/2006/relationships/hyperlink" Id="rId24" Target="https://www.investing.com/rates-bonds/china-10-year-bond-yield-historical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Forecasting Financial Cycles: Can Big Data Help?</dc:title>
  <dc:creator>Marinko Skare</dc:creator>
  <dcterms:created xsi:type="dcterms:W3CDTF">2019-11-10T21:23:01Z</dcterms:created>
  <dcterms:modified xsi:type="dcterms:W3CDTF">2019-11-10T21:23:01Z</dcterms:modified>
</cp:coreProperties>
</file>